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40"/>
        <w:jc w:val="center"/>
        <w:rPr>
          <w:rFonts w:ascii="微软雅黑" w:hAnsi="微软雅黑" w:eastAsia="微软雅黑"/>
          <w:b/>
          <w:sz w:val="28"/>
        </w:rPr>
      </w:pPr>
      <w:r>
        <w:rPr>
          <w:rFonts w:hint="eastAsia" w:ascii="微软雅黑" w:hAnsi="微软雅黑" w:eastAsia="微软雅黑"/>
          <w:b/>
          <w:sz w:val="28"/>
        </w:rPr>
        <w:t>2020年经济与管理学院全日制工商管理硕士(MBA)</w:t>
      </w:r>
    </w:p>
    <w:p>
      <w:pPr>
        <w:ind w:left="240"/>
        <w:jc w:val="center"/>
        <w:rPr>
          <w:rFonts w:ascii="微软雅黑" w:hAnsi="微软雅黑" w:eastAsia="微软雅黑"/>
          <w:b/>
          <w:sz w:val="28"/>
        </w:rPr>
      </w:pPr>
      <w:r>
        <w:rPr>
          <w:rFonts w:hint="eastAsia" w:ascii="微软雅黑" w:hAnsi="微软雅黑" w:eastAsia="微软雅黑"/>
          <w:b/>
          <w:sz w:val="28"/>
        </w:rPr>
        <w:t>学业奖学金评定细则</w:t>
      </w:r>
    </w:p>
    <w:p>
      <w:pPr>
        <w:ind w:firstLine="480" w:firstLineChars="200"/>
        <w:rPr>
          <w:rFonts w:ascii="仿宋" w:hAnsi="仿宋" w:eastAsia="仿宋"/>
          <w:sz w:val="24"/>
        </w:rPr>
      </w:pPr>
      <w:r>
        <w:rPr>
          <w:rFonts w:hint="eastAsia" w:ascii="仿宋" w:hAnsi="仿宋" w:eastAsia="仿宋"/>
          <w:sz w:val="24"/>
        </w:rPr>
        <w:t>为了激励研究生勤奋学习、潜心科研、勇于创新、积极进取，根据《电子科技大学研究生</w:t>
      </w:r>
      <w:r>
        <w:rPr>
          <w:rFonts w:hint="eastAsia" w:ascii="仿宋" w:hAnsi="仿宋" w:eastAsia="仿宋"/>
          <w:sz w:val="24"/>
          <w:lang w:val="en-US" w:eastAsia="zh-CN"/>
        </w:rPr>
        <w:t>荣誉奖励实施办法</w:t>
      </w:r>
      <w:r>
        <w:rPr>
          <w:rFonts w:hint="eastAsia" w:ascii="仿宋" w:hAnsi="仿宋" w:eastAsia="仿宋"/>
          <w:sz w:val="24"/>
        </w:rPr>
        <w:t>》</w:t>
      </w:r>
      <w:r>
        <w:rPr>
          <w:rFonts w:ascii="仿宋" w:hAnsi="仿宋" w:eastAsia="仿宋"/>
          <w:sz w:val="24"/>
        </w:rPr>
        <w:t>校研[2019]16</w:t>
      </w:r>
      <w:r>
        <w:rPr>
          <w:rFonts w:hint="eastAsia" w:ascii="仿宋" w:hAnsi="仿宋" w:eastAsia="仿宋"/>
          <w:sz w:val="24"/>
          <w:lang w:val="en-US" w:eastAsia="zh-CN"/>
        </w:rPr>
        <w:t>4</w:t>
      </w:r>
      <w:r>
        <w:rPr>
          <w:rFonts w:hint="eastAsia" w:ascii="仿宋" w:hAnsi="仿宋" w:eastAsia="仿宋"/>
          <w:sz w:val="24"/>
        </w:rPr>
        <w:t>号、《电子科技大学研究生学业奖学金</w:t>
      </w:r>
      <w:r>
        <w:rPr>
          <w:rFonts w:hint="eastAsia" w:ascii="仿宋" w:hAnsi="仿宋" w:eastAsia="仿宋"/>
          <w:sz w:val="24"/>
          <w:lang w:val="en-US" w:eastAsia="zh-CN"/>
        </w:rPr>
        <w:t>评审</w:t>
      </w:r>
      <w:r>
        <w:rPr>
          <w:rFonts w:hint="eastAsia" w:ascii="仿宋" w:hAnsi="仿宋" w:eastAsia="仿宋"/>
          <w:sz w:val="24"/>
        </w:rPr>
        <w:t>管理办法》</w:t>
      </w:r>
      <w:r>
        <w:rPr>
          <w:rFonts w:ascii="仿宋" w:hAnsi="仿宋" w:eastAsia="仿宋"/>
          <w:sz w:val="24"/>
        </w:rPr>
        <w:t>校研[2019]166</w:t>
      </w:r>
      <w:r>
        <w:rPr>
          <w:rFonts w:hint="eastAsia" w:ascii="仿宋" w:hAnsi="仿宋" w:eastAsia="仿宋"/>
          <w:sz w:val="24"/>
        </w:rPr>
        <w:t>号、《经济与管理学院研究生学业奖学金评定细则》（2019版）等文件精神，为保证研究生学业奖学金评定公平、公正，特制定本细则。</w:t>
      </w:r>
    </w:p>
    <w:p>
      <w:pPr>
        <w:spacing w:before="156" w:beforeLines="50" w:after="156" w:afterLines="50"/>
        <w:rPr>
          <w:rFonts w:ascii="仿宋" w:hAnsi="仿宋" w:eastAsia="仿宋"/>
          <w:b/>
          <w:sz w:val="24"/>
        </w:rPr>
      </w:pPr>
      <w:r>
        <w:rPr>
          <w:rFonts w:hint="eastAsia" w:ascii="仿宋" w:hAnsi="仿宋" w:eastAsia="仿宋"/>
          <w:b/>
          <w:sz w:val="24"/>
        </w:rPr>
        <w:t>一、申请范围</w:t>
      </w:r>
    </w:p>
    <w:p>
      <w:pPr>
        <w:ind w:left="420" w:leftChars="200"/>
        <w:jc w:val="left"/>
        <w:rPr>
          <w:rFonts w:ascii="仿宋" w:hAnsi="仿宋" w:eastAsia="仿宋"/>
          <w:sz w:val="24"/>
        </w:rPr>
      </w:pPr>
      <w:r>
        <w:rPr>
          <w:rFonts w:hint="eastAsia" w:ascii="仿宋" w:hAnsi="仿宋" w:eastAsia="仿宋"/>
          <w:sz w:val="24"/>
        </w:rPr>
        <w:t>1、热爱祖国，遵守国家法律法规和学校学院规章制度，思想品德行为良好。2、勤奋学习，成绩良好（上一学年学位课程不低于32个学分）。</w:t>
      </w:r>
    </w:p>
    <w:p>
      <w:pPr>
        <w:ind w:left="420" w:leftChars="200"/>
        <w:rPr>
          <w:rFonts w:ascii="仿宋" w:hAnsi="仿宋" w:eastAsia="仿宋"/>
          <w:sz w:val="24"/>
        </w:rPr>
      </w:pPr>
      <w:r>
        <w:rPr>
          <w:rFonts w:ascii="仿宋" w:hAnsi="仿宋" w:eastAsia="仿宋"/>
          <w:sz w:val="24"/>
        </w:rPr>
        <w:t>3</w:t>
      </w:r>
      <w:r>
        <w:rPr>
          <w:rFonts w:hint="eastAsia" w:ascii="仿宋" w:hAnsi="仿宋" w:eastAsia="仿宋"/>
          <w:sz w:val="24"/>
        </w:rPr>
        <w:t>、参评研究生应是全日制脱产</w:t>
      </w:r>
      <w:r>
        <w:rPr>
          <w:rFonts w:ascii="仿宋" w:hAnsi="仿宋" w:eastAsia="仿宋"/>
          <w:sz w:val="24"/>
        </w:rPr>
        <w:t>MBA</w:t>
      </w:r>
      <w:r>
        <w:rPr>
          <w:rFonts w:hint="eastAsia" w:ascii="仿宋" w:hAnsi="仿宋" w:eastAsia="仿宋"/>
          <w:sz w:val="24"/>
        </w:rPr>
        <w:t>研究生，不含定向研究生和委培研究生。</w:t>
      </w:r>
      <w:r>
        <w:rPr>
          <w:rFonts w:ascii="仿宋" w:hAnsi="仿宋" w:eastAsia="仿宋"/>
          <w:sz w:val="24"/>
        </w:rPr>
        <w:t>4</w:t>
      </w:r>
      <w:r>
        <w:rPr>
          <w:rFonts w:hint="eastAsia" w:ascii="仿宋" w:hAnsi="仿宋" w:eastAsia="仿宋"/>
          <w:sz w:val="24"/>
        </w:rPr>
        <w:t>、参评年级为二年级。</w:t>
      </w:r>
    </w:p>
    <w:p>
      <w:pPr>
        <w:spacing w:before="156" w:beforeLines="50" w:after="156" w:afterLines="50"/>
        <w:rPr>
          <w:rFonts w:ascii="仿宋" w:hAnsi="仿宋" w:eastAsia="仿宋"/>
          <w:b/>
          <w:sz w:val="24"/>
        </w:rPr>
      </w:pPr>
      <w:r>
        <w:rPr>
          <w:rFonts w:hint="eastAsia" w:ascii="仿宋" w:hAnsi="仿宋" w:eastAsia="仿宋"/>
          <w:b/>
          <w:sz w:val="24"/>
        </w:rPr>
        <w:t>二、有下列情况之一者，取消当年评奖资格</w:t>
      </w:r>
    </w:p>
    <w:p>
      <w:pPr>
        <w:ind w:firstLine="420"/>
        <w:rPr>
          <w:rFonts w:ascii="仿宋" w:hAnsi="仿宋" w:eastAsia="仿宋"/>
          <w:sz w:val="24"/>
        </w:rPr>
      </w:pPr>
      <w:r>
        <w:rPr>
          <w:rFonts w:hint="eastAsia" w:ascii="仿宋" w:hAnsi="仿宋" w:eastAsia="仿宋"/>
          <w:sz w:val="24"/>
        </w:rPr>
        <w:t>1、违反国家法律、校纪校规受到纪律处分者。</w:t>
      </w:r>
    </w:p>
    <w:p>
      <w:pPr>
        <w:ind w:firstLine="420"/>
        <w:rPr>
          <w:rFonts w:ascii="仿宋" w:hAnsi="仿宋" w:eastAsia="仿宋"/>
          <w:sz w:val="24"/>
        </w:rPr>
      </w:pPr>
      <w:r>
        <w:rPr>
          <w:rFonts w:hint="eastAsia" w:ascii="仿宋" w:hAnsi="仿宋" w:eastAsia="仿宋"/>
          <w:sz w:val="24"/>
        </w:rPr>
        <w:t>2、本人当年未按时提出申请者。</w:t>
      </w:r>
    </w:p>
    <w:p>
      <w:pPr>
        <w:spacing w:before="156" w:beforeLines="50" w:after="156" w:afterLines="50"/>
        <w:rPr>
          <w:rFonts w:ascii="仿宋" w:hAnsi="仿宋" w:eastAsia="仿宋"/>
          <w:b/>
          <w:sz w:val="24"/>
        </w:rPr>
      </w:pPr>
      <w:r>
        <w:rPr>
          <w:rFonts w:hint="eastAsia" w:ascii="仿宋" w:hAnsi="仿宋" w:eastAsia="仿宋"/>
          <w:b/>
          <w:sz w:val="24"/>
        </w:rPr>
        <w:t>三、学院研究生奖学金评审委员会</w:t>
      </w:r>
    </w:p>
    <w:p>
      <w:pPr>
        <w:ind w:firstLine="420"/>
        <w:rPr>
          <w:rFonts w:hint="eastAsia" w:ascii="仿宋" w:hAnsi="仿宋" w:eastAsia="仿宋"/>
          <w:sz w:val="24"/>
        </w:rPr>
      </w:pPr>
      <w:r>
        <w:rPr>
          <w:rFonts w:hint="eastAsia" w:ascii="仿宋" w:hAnsi="仿宋" w:eastAsia="仿宋"/>
          <w:sz w:val="24"/>
        </w:rPr>
        <w:t>主任委员：龚漪（书记）、马永开（院长）</w:t>
      </w:r>
    </w:p>
    <w:p>
      <w:pPr>
        <w:ind w:firstLine="420"/>
        <w:rPr>
          <w:rFonts w:ascii="仿宋" w:hAnsi="仿宋" w:eastAsia="仿宋"/>
          <w:sz w:val="24"/>
        </w:rPr>
      </w:pPr>
      <w:r>
        <w:rPr>
          <w:rFonts w:hint="eastAsia" w:ascii="仿宋" w:hAnsi="仿宋" w:eastAsia="仿宋"/>
          <w:sz w:val="24"/>
        </w:rPr>
        <w:t>委</w:t>
      </w:r>
      <w:r>
        <w:rPr>
          <w:rFonts w:hint="eastAsia" w:ascii="仿宋" w:hAnsi="仿宋" w:eastAsia="仿宋"/>
          <w:sz w:val="24"/>
          <w:lang w:val="en-US" w:eastAsia="zh-CN"/>
        </w:rPr>
        <w:t xml:space="preserve">    </w:t>
      </w:r>
      <w:r>
        <w:rPr>
          <w:rFonts w:hint="eastAsia" w:ascii="仿宋" w:hAnsi="仿宋" w:eastAsia="仿宋"/>
          <w:sz w:val="24"/>
        </w:rPr>
        <w:t>员：潘杨（副书记）、陈旭（副院长）、肖延高（副院长）、艾兴政（教授、系主任）、宋艳（教授、系主任）、李亚静（教授、系主任）、方佳明（副教授、副系主任）、王敏（副教授、副系主任）、陈朝龙（副教授、副系主任）、马捷（副教授、副系主任）、钱宇（副教授、系支部书记）、刘文彬（副教授、系支部书记）、尹宇明（副教授、系支部书记）、陈德富（MBA项目主任）、孔刚（研究生科）、刘军（研究生辅导员）、刘刚（研究生辅导员）、</w:t>
      </w:r>
      <w:r>
        <w:rPr>
          <w:rFonts w:hint="eastAsia" w:ascii="仿宋" w:hAnsi="仿宋" w:eastAsia="仿宋"/>
          <w:sz w:val="24"/>
          <w:lang w:val="en-US" w:eastAsia="zh-CN"/>
        </w:rPr>
        <w:t>教师代表、</w:t>
      </w:r>
      <w:r>
        <w:rPr>
          <w:rFonts w:hint="eastAsia" w:ascii="仿宋" w:hAnsi="仿宋" w:eastAsia="仿宋"/>
          <w:sz w:val="24"/>
        </w:rPr>
        <w:t>学生代表（不少于两名）。</w:t>
      </w:r>
    </w:p>
    <w:p>
      <w:pPr>
        <w:spacing w:before="156" w:beforeLines="50" w:after="156" w:afterLines="50"/>
        <w:rPr>
          <w:rFonts w:ascii="仿宋" w:hAnsi="仿宋" w:eastAsia="仿宋"/>
          <w:b/>
          <w:sz w:val="24"/>
        </w:rPr>
      </w:pPr>
      <w:r>
        <w:rPr>
          <w:rFonts w:hint="eastAsia" w:ascii="仿宋" w:hAnsi="仿宋" w:eastAsia="仿宋"/>
          <w:b/>
          <w:sz w:val="24"/>
        </w:rPr>
        <w:t>四、基本流程</w:t>
      </w:r>
    </w:p>
    <w:p>
      <w:pPr>
        <w:ind w:firstLine="420"/>
        <w:rPr>
          <w:rFonts w:ascii="仿宋" w:hAnsi="仿宋" w:eastAsia="仿宋"/>
          <w:sz w:val="24"/>
        </w:rPr>
      </w:pPr>
      <w:r>
        <w:rPr>
          <w:rFonts w:hint="eastAsia" w:ascii="仿宋" w:hAnsi="仿宋" w:eastAsia="仿宋"/>
          <w:sz w:val="24"/>
        </w:rPr>
        <w:t>1、学生提出申请；</w:t>
      </w:r>
    </w:p>
    <w:p>
      <w:pPr>
        <w:ind w:firstLine="420"/>
        <w:rPr>
          <w:rFonts w:ascii="仿宋" w:hAnsi="仿宋" w:eastAsia="仿宋"/>
          <w:sz w:val="24"/>
        </w:rPr>
      </w:pPr>
      <w:r>
        <w:rPr>
          <w:rFonts w:hint="eastAsia" w:ascii="仿宋" w:hAnsi="仿宋" w:eastAsia="仿宋"/>
          <w:sz w:val="24"/>
        </w:rPr>
        <w:t>2、学院对申请人进行资格审查；</w:t>
      </w:r>
    </w:p>
    <w:p>
      <w:pPr>
        <w:ind w:firstLine="420"/>
        <w:rPr>
          <w:rFonts w:ascii="仿宋" w:hAnsi="仿宋" w:eastAsia="仿宋"/>
          <w:sz w:val="24"/>
        </w:rPr>
      </w:pPr>
      <w:r>
        <w:rPr>
          <w:rFonts w:hint="eastAsia" w:ascii="仿宋" w:hAnsi="仿宋" w:eastAsia="仿宋"/>
          <w:sz w:val="24"/>
        </w:rPr>
        <w:t>3、学院研究生奖学金评审委员会组织评定；</w:t>
      </w:r>
    </w:p>
    <w:p>
      <w:pPr>
        <w:ind w:firstLine="420"/>
        <w:rPr>
          <w:rFonts w:ascii="仿宋" w:hAnsi="仿宋" w:eastAsia="仿宋"/>
          <w:sz w:val="24"/>
        </w:rPr>
      </w:pPr>
      <w:r>
        <w:rPr>
          <w:rFonts w:hint="eastAsia" w:ascii="仿宋" w:hAnsi="仿宋" w:eastAsia="仿宋"/>
          <w:sz w:val="24"/>
        </w:rPr>
        <w:t>4、</w:t>
      </w:r>
      <w:r>
        <w:rPr>
          <w:rFonts w:ascii="仿宋" w:hAnsi="仿宋" w:eastAsia="仿宋"/>
          <w:sz w:val="24"/>
        </w:rPr>
        <w:t>公示</w:t>
      </w:r>
      <w:r>
        <w:rPr>
          <w:rFonts w:hint="eastAsia" w:ascii="仿宋" w:hAnsi="仿宋" w:eastAsia="仿宋"/>
          <w:sz w:val="24"/>
        </w:rPr>
        <w:t>学院初评推荐</w:t>
      </w:r>
      <w:r>
        <w:rPr>
          <w:rFonts w:ascii="仿宋" w:hAnsi="仿宋" w:eastAsia="仿宋"/>
          <w:sz w:val="24"/>
        </w:rPr>
        <w:t>结果</w:t>
      </w:r>
      <w:r>
        <w:rPr>
          <w:rFonts w:hint="eastAsia" w:ascii="仿宋" w:hAnsi="仿宋" w:eastAsia="仿宋"/>
          <w:sz w:val="24"/>
        </w:rPr>
        <w:t>；</w:t>
      </w:r>
    </w:p>
    <w:p>
      <w:pPr>
        <w:ind w:firstLine="420"/>
        <w:rPr>
          <w:rFonts w:ascii="仿宋" w:hAnsi="仿宋" w:eastAsia="仿宋"/>
          <w:sz w:val="24"/>
        </w:rPr>
      </w:pPr>
      <w:r>
        <w:rPr>
          <w:rFonts w:hint="eastAsia" w:ascii="仿宋" w:hAnsi="仿宋" w:eastAsia="仿宋"/>
          <w:sz w:val="24"/>
        </w:rPr>
        <w:t>5、在公示期内，如有异议可进行申诉；</w:t>
      </w:r>
    </w:p>
    <w:p>
      <w:pPr>
        <w:ind w:firstLine="420"/>
        <w:rPr>
          <w:rFonts w:ascii="仿宋" w:hAnsi="仿宋" w:eastAsia="仿宋"/>
          <w:sz w:val="24"/>
        </w:rPr>
      </w:pPr>
      <w:r>
        <w:rPr>
          <w:rFonts w:hint="eastAsia" w:ascii="仿宋" w:hAnsi="仿宋" w:eastAsia="仿宋"/>
          <w:sz w:val="24"/>
        </w:rPr>
        <w:t>6、将学院评选结果报送研究生院审核。</w:t>
      </w:r>
    </w:p>
    <w:p>
      <w:pPr>
        <w:spacing w:before="156" w:beforeLines="50" w:after="156" w:afterLines="50"/>
        <w:rPr>
          <w:rFonts w:ascii="仿宋" w:hAnsi="仿宋" w:eastAsia="仿宋"/>
          <w:b/>
          <w:sz w:val="24"/>
        </w:rPr>
      </w:pPr>
      <w:r>
        <w:rPr>
          <w:rFonts w:hint="eastAsia" w:ascii="仿宋" w:hAnsi="仿宋" w:eastAsia="仿宋"/>
          <w:b/>
          <w:sz w:val="24"/>
        </w:rPr>
        <w:t>五、名额分配方式</w:t>
      </w:r>
    </w:p>
    <w:p>
      <w:pPr>
        <w:ind w:firstLine="480" w:firstLineChars="200"/>
        <w:rPr>
          <w:rFonts w:ascii="仿宋" w:hAnsi="仿宋" w:eastAsia="仿宋"/>
          <w:sz w:val="24"/>
        </w:rPr>
      </w:pPr>
      <w:r>
        <w:rPr>
          <w:rFonts w:hint="eastAsia" w:ascii="仿宋" w:hAnsi="仿宋" w:eastAsia="仿宋"/>
          <w:sz w:val="24"/>
        </w:rPr>
        <w:t>按照研究生手册《电子科技大学研究生学业奖学金</w:t>
      </w:r>
      <w:r>
        <w:rPr>
          <w:rFonts w:hint="eastAsia" w:ascii="仿宋" w:hAnsi="仿宋" w:eastAsia="仿宋"/>
          <w:sz w:val="24"/>
          <w:lang w:val="en-US" w:eastAsia="zh-CN"/>
        </w:rPr>
        <w:t>评审</w:t>
      </w:r>
      <w:r>
        <w:rPr>
          <w:rFonts w:hint="eastAsia" w:ascii="仿宋" w:hAnsi="仿宋" w:eastAsia="仿宋"/>
          <w:sz w:val="24"/>
        </w:rPr>
        <w:t>管理办法》中规定的学业奖学金获奖比例，以二年级全日制非定向M</w:t>
      </w:r>
      <w:r>
        <w:rPr>
          <w:rFonts w:ascii="仿宋" w:hAnsi="仿宋" w:eastAsia="仿宋"/>
          <w:sz w:val="24"/>
        </w:rPr>
        <w:t>BA</w:t>
      </w:r>
      <w:r>
        <w:rPr>
          <w:rFonts w:hint="eastAsia" w:ascii="仿宋" w:hAnsi="仿宋" w:eastAsia="仿宋"/>
          <w:sz w:val="24"/>
        </w:rPr>
        <w:t>学生人数为基数进行核定。</w:t>
      </w:r>
    </w:p>
    <w:p>
      <w:pPr>
        <w:spacing w:before="156" w:beforeLines="50" w:after="156" w:afterLines="50"/>
        <w:rPr>
          <w:rFonts w:ascii="仿宋" w:hAnsi="仿宋" w:eastAsia="仿宋"/>
          <w:b/>
          <w:sz w:val="24"/>
        </w:rPr>
      </w:pPr>
      <w:r>
        <w:rPr>
          <w:rFonts w:hint="eastAsia" w:ascii="仿宋" w:hAnsi="仿宋" w:eastAsia="仿宋"/>
          <w:b/>
          <w:sz w:val="24"/>
        </w:rPr>
        <w:t>六、公示</w:t>
      </w:r>
    </w:p>
    <w:p>
      <w:pPr>
        <w:ind w:firstLine="480" w:firstLineChars="200"/>
        <w:rPr>
          <w:rFonts w:ascii="仿宋" w:hAnsi="仿宋" w:eastAsia="仿宋"/>
          <w:sz w:val="24"/>
        </w:rPr>
      </w:pPr>
      <w:r>
        <w:rPr>
          <w:rFonts w:hint="eastAsia" w:ascii="仿宋" w:hAnsi="仿宋" w:eastAsia="仿宋"/>
          <w:sz w:val="24"/>
        </w:rPr>
        <w:t>1、公示方式：学院M</w:t>
      </w:r>
      <w:r>
        <w:rPr>
          <w:rFonts w:ascii="仿宋" w:hAnsi="仿宋" w:eastAsia="仿宋"/>
          <w:sz w:val="24"/>
        </w:rPr>
        <w:t>BA</w:t>
      </w:r>
      <w:r>
        <w:rPr>
          <w:rFonts w:hint="eastAsia" w:ascii="仿宋" w:hAnsi="仿宋" w:eastAsia="仿宋"/>
          <w:sz w:val="24"/>
        </w:rPr>
        <w:t>教育中心官方网站：</w:t>
      </w:r>
      <w:r>
        <w:fldChar w:fldCharType="begin"/>
      </w:r>
      <w:r>
        <w:instrText xml:space="preserve"> HYPERLINK "http://www.mba.uestc.edu.cn/" </w:instrText>
      </w:r>
      <w:r>
        <w:fldChar w:fldCharType="separate"/>
      </w:r>
      <w:r>
        <w:rPr>
          <w:rFonts w:hint="eastAsia" w:ascii="仿宋" w:hAnsi="仿宋" w:eastAsia="仿宋"/>
          <w:sz w:val="24"/>
        </w:rPr>
        <w:t>www.mba.uestc.edu.cn</w:t>
      </w:r>
      <w:r>
        <w:rPr>
          <w:rFonts w:hint="eastAsia" w:ascii="仿宋" w:hAnsi="仿宋" w:eastAsia="仿宋"/>
          <w:sz w:val="24"/>
        </w:rPr>
        <w:fldChar w:fldCharType="end"/>
      </w:r>
      <w:r>
        <w:rPr>
          <w:rFonts w:ascii="仿宋" w:hAnsi="仿宋" w:eastAsia="仿宋"/>
          <w:sz w:val="24"/>
        </w:rPr>
        <w:t>。</w:t>
      </w:r>
    </w:p>
    <w:p>
      <w:pPr>
        <w:ind w:firstLine="480" w:firstLineChars="200"/>
        <w:rPr>
          <w:rFonts w:ascii="仿宋" w:hAnsi="仿宋" w:eastAsia="仿宋"/>
          <w:sz w:val="24"/>
        </w:rPr>
      </w:pPr>
      <w:r>
        <w:rPr>
          <w:rFonts w:hint="eastAsia" w:ascii="仿宋" w:hAnsi="仿宋" w:eastAsia="仿宋"/>
          <w:sz w:val="24"/>
        </w:rPr>
        <w:t>2、其他补充公示方式：公告板、班级微信、</w:t>
      </w:r>
      <w:r>
        <w:rPr>
          <w:rFonts w:ascii="仿宋" w:hAnsi="仿宋" w:eastAsia="仿宋"/>
          <w:sz w:val="24"/>
        </w:rPr>
        <w:t>QQ</w:t>
      </w:r>
      <w:r>
        <w:rPr>
          <w:rFonts w:hint="eastAsia" w:ascii="仿宋" w:hAnsi="仿宋" w:eastAsia="仿宋"/>
          <w:sz w:val="24"/>
        </w:rPr>
        <w:t>群。</w:t>
      </w:r>
    </w:p>
    <w:p>
      <w:pPr>
        <w:ind w:firstLine="480" w:firstLineChars="200"/>
        <w:rPr>
          <w:rFonts w:ascii="仿宋" w:hAnsi="仿宋" w:eastAsia="仿宋"/>
          <w:sz w:val="24"/>
        </w:rPr>
      </w:pPr>
      <w:r>
        <w:rPr>
          <w:rFonts w:hint="eastAsia" w:ascii="仿宋" w:hAnsi="仿宋" w:eastAsia="仿宋"/>
          <w:sz w:val="24"/>
        </w:rPr>
        <w:t>3、公示内容：学位课程学分加权平均分、奖学金附加材料、排名、获奖名单等。</w:t>
      </w:r>
    </w:p>
    <w:p>
      <w:pPr>
        <w:spacing w:line="400" w:lineRule="exact"/>
        <w:ind w:firstLine="480" w:firstLineChars="200"/>
        <w:rPr>
          <w:rFonts w:ascii="仿宋" w:hAnsi="仿宋" w:eastAsia="仿宋"/>
          <w:sz w:val="24"/>
        </w:rPr>
      </w:pPr>
      <w:r>
        <w:rPr>
          <w:rFonts w:ascii="仿宋" w:hAnsi="仿宋" w:eastAsia="仿宋"/>
          <w:sz w:val="24"/>
        </w:rPr>
        <w:t>4、</w:t>
      </w:r>
      <w:r>
        <w:rPr>
          <w:rFonts w:hint="eastAsia" w:ascii="仿宋" w:hAnsi="仿宋" w:eastAsia="仿宋"/>
          <w:sz w:val="24"/>
        </w:rPr>
        <w:t>公示时间：</w:t>
      </w:r>
      <w:r>
        <w:rPr>
          <w:rFonts w:hint="eastAsia" w:ascii="仿宋" w:hAnsi="仿宋" w:eastAsia="仿宋"/>
          <w:sz w:val="24"/>
          <w:lang w:val="en-US" w:eastAsia="zh-CN"/>
        </w:rPr>
        <w:t>拟推荐获奖名单公示时间</w:t>
      </w:r>
      <w:r>
        <w:rPr>
          <w:rFonts w:hint="eastAsia" w:ascii="仿宋" w:hAnsi="仿宋" w:eastAsia="仿宋"/>
          <w:sz w:val="24"/>
        </w:rPr>
        <w:t>不少于5个工作日。</w:t>
      </w:r>
    </w:p>
    <w:p>
      <w:pPr>
        <w:ind w:firstLine="480" w:firstLineChars="200"/>
        <w:rPr>
          <w:rFonts w:ascii="仿宋" w:hAnsi="仿宋" w:eastAsia="仿宋"/>
          <w:sz w:val="24"/>
        </w:rPr>
      </w:pPr>
    </w:p>
    <w:p>
      <w:pPr>
        <w:spacing w:before="156" w:beforeLines="50" w:after="156" w:afterLines="50"/>
        <w:rPr>
          <w:rFonts w:ascii="仿宋" w:hAnsi="仿宋" w:eastAsia="仿宋"/>
          <w:b/>
          <w:sz w:val="24"/>
        </w:rPr>
      </w:pPr>
      <w:r>
        <w:rPr>
          <w:rFonts w:hint="eastAsia" w:ascii="仿宋" w:hAnsi="仿宋" w:eastAsia="仿宋"/>
          <w:b/>
          <w:sz w:val="24"/>
        </w:rPr>
        <w:t>七、申诉</w:t>
      </w:r>
    </w:p>
    <w:p>
      <w:pPr>
        <w:ind w:firstLine="480" w:firstLineChars="200"/>
        <w:rPr>
          <w:rFonts w:ascii="仿宋" w:hAnsi="仿宋" w:eastAsia="仿宋"/>
          <w:sz w:val="24"/>
        </w:rPr>
      </w:pPr>
      <w:r>
        <w:rPr>
          <w:rFonts w:hint="eastAsia" w:ascii="仿宋" w:hAnsi="仿宋" w:eastAsia="仿宋"/>
          <w:sz w:val="24"/>
        </w:rPr>
        <w:t>对学业奖学金评审结果有异议的研究生，可在学院公示期内向本学院研究生奖学金评审委员会提出书面申诉，评审委员会将及时研究并予以答复。</w:t>
      </w:r>
    </w:p>
    <w:p>
      <w:pPr>
        <w:ind w:firstLine="480" w:firstLineChars="200"/>
        <w:rPr>
          <w:rFonts w:ascii="仿宋" w:hAnsi="仿宋" w:eastAsia="仿宋"/>
          <w:sz w:val="24"/>
        </w:rPr>
      </w:pPr>
      <w:r>
        <w:rPr>
          <w:rFonts w:hint="eastAsia" w:ascii="仿宋" w:hAnsi="仿宋" w:eastAsia="仿宋"/>
          <w:sz w:val="24"/>
        </w:rPr>
        <w:t>申诉邮箱：</w:t>
      </w:r>
      <w:r>
        <w:fldChar w:fldCharType="begin"/>
      </w:r>
      <w:r>
        <w:instrText xml:space="preserve"> HYPERLINK "mailto:mba@uestc.edu.cn" </w:instrText>
      </w:r>
      <w:r>
        <w:fldChar w:fldCharType="separate"/>
      </w:r>
      <w:r>
        <w:rPr>
          <w:rFonts w:hint="eastAsia" w:ascii="仿宋" w:hAnsi="仿宋" w:eastAsia="仿宋"/>
          <w:sz w:val="24"/>
        </w:rPr>
        <w:t>mba@uestc.edu.cn</w:t>
      </w:r>
      <w:r>
        <w:rPr>
          <w:rFonts w:hint="eastAsia" w:ascii="仿宋" w:hAnsi="仿宋" w:eastAsia="仿宋"/>
          <w:sz w:val="24"/>
        </w:rPr>
        <w:fldChar w:fldCharType="end"/>
      </w:r>
      <w:r>
        <w:rPr>
          <w:rFonts w:ascii="仿宋" w:hAnsi="仿宋" w:eastAsia="仿宋"/>
          <w:sz w:val="24"/>
        </w:rPr>
        <w:t>。</w:t>
      </w:r>
    </w:p>
    <w:p>
      <w:pPr>
        <w:ind w:firstLine="480" w:firstLineChars="200"/>
        <w:rPr>
          <w:rFonts w:ascii="仿宋" w:hAnsi="仿宋" w:eastAsia="仿宋"/>
          <w:sz w:val="24"/>
        </w:rPr>
      </w:pPr>
      <w:r>
        <w:rPr>
          <w:rFonts w:hint="eastAsia" w:ascii="仿宋" w:hAnsi="仿宋" w:eastAsia="仿宋"/>
          <w:sz w:val="24"/>
        </w:rPr>
        <w:t>联系电话：028—61831635。</w:t>
      </w:r>
    </w:p>
    <w:p>
      <w:pPr>
        <w:spacing w:before="156" w:beforeLines="50" w:after="156" w:afterLines="50"/>
        <w:rPr>
          <w:rFonts w:ascii="仿宋" w:hAnsi="仿宋" w:eastAsia="仿宋"/>
          <w:b/>
          <w:sz w:val="24"/>
        </w:rPr>
      </w:pPr>
      <w:r>
        <w:rPr>
          <w:rFonts w:hint="eastAsia" w:ascii="仿宋" w:hAnsi="仿宋" w:eastAsia="仿宋"/>
          <w:b/>
          <w:sz w:val="24"/>
        </w:rPr>
        <w:t>八、奖学金评定详细办法（见附件）</w:t>
      </w:r>
    </w:p>
    <w:p>
      <w:pPr>
        <w:spacing w:after="156" w:afterLines="50" w:line="240" w:lineRule="atLeast"/>
        <w:ind w:firstLine="540" w:firstLineChars="300"/>
        <w:rPr>
          <w:rFonts w:ascii="仿宋" w:hAnsi="仿宋" w:eastAsia="仿宋"/>
          <w:sz w:val="18"/>
        </w:rPr>
      </w:pPr>
      <w:r>
        <w:rPr>
          <w:rFonts w:hint="eastAsia" w:ascii="仿宋" w:hAnsi="仿宋" w:eastAsia="仿宋"/>
          <w:sz w:val="18"/>
        </w:rPr>
        <w:t>附件1：2020年经济与管理学院全日制工商管理硕士(MBA)学业奖学金评定详细办法</w:t>
      </w:r>
    </w:p>
    <w:p>
      <w:pPr>
        <w:spacing w:before="156" w:beforeLines="50" w:after="156" w:afterLines="50"/>
        <w:rPr>
          <w:rFonts w:ascii="仿宋" w:hAnsi="仿宋" w:eastAsia="仿宋"/>
          <w:b/>
          <w:sz w:val="24"/>
        </w:rPr>
      </w:pPr>
      <w:r>
        <w:rPr>
          <w:rFonts w:hint="eastAsia" w:ascii="仿宋" w:hAnsi="仿宋" w:eastAsia="仿宋"/>
          <w:b/>
          <w:sz w:val="24"/>
        </w:rPr>
        <w:t>九、本细则由电子科技大学经济与管理学院研究生奖学金评审委员会负责解释 。</w:t>
      </w: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jc w:val="right"/>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经济与管理学院</w:t>
      </w:r>
    </w:p>
    <w:p>
      <w:pPr>
        <w:ind w:firstLine="240" w:firstLineChars="100"/>
        <w:jc w:val="right"/>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2019</w:t>
      </w:r>
      <w:r>
        <w:rPr>
          <w:rFonts w:hint="eastAsia" w:ascii="仿宋" w:hAnsi="仿宋" w:eastAsia="仿宋"/>
          <w:sz w:val="24"/>
        </w:rPr>
        <w:t>年12月</w:t>
      </w: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ind w:firstLine="240" w:firstLineChars="100"/>
        <w:rPr>
          <w:rFonts w:ascii="仿宋" w:hAnsi="仿宋" w:eastAsia="仿宋"/>
          <w:sz w:val="24"/>
        </w:rPr>
      </w:pPr>
    </w:p>
    <w:p>
      <w:pPr>
        <w:rPr>
          <w:rFonts w:ascii="仿宋" w:hAnsi="仿宋" w:eastAsia="仿宋"/>
          <w:sz w:val="24"/>
        </w:rPr>
      </w:pPr>
      <w:r>
        <w:rPr>
          <w:rFonts w:hint="eastAsia" w:ascii="仿宋" w:hAnsi="仿宋" w:eastAsia="仿宋"/>
          <w:sz w:val="24"/>
        </w:rPr>
        <w:t>附件1：</w:t>
      </w:r>
    </w:p>
    <w:p>
      <w:pPr>
        <w:ind w:left="240"/>
        <w:jc w:val="center"/>
        <w:rPr>
          <w:rFonts w:ascii="微软雅黑" w:hAnsi="微软雅黑" w:eastAsia="微软雅黑"/>
          <w:b/>
          <w:sz w:val="28"/>
        </w:rPr>
      </w:pPr>
      <w:r>
        <w:rPr>
          <w:rFonts w:hint="eastAsia" w:ascii="微软雅黑" w:hAnsi="微软雅黑" w:eastAsia="微软雅黑"/>
          <w:b/>
          <w:sz w:val="28"/>
        </w:rPr>
        <w:t>2019年经济与管理学院全日制工商管理硕士(MBA)</w:t>
      </w:r>
    </w:p>
    <w:p>
      <w:pPr>
        <w:ind w:left="240"/>
        <w:jc w:val="center"/>
        <w:rPr>
          <w:rFonts w:ascii="微软雅黑" w:hAnsi="微软雅黑" w:eastAsia="微软雅黑"/>
          <w:b/>
          <w:sz w:val="28"/>
        </w:rPr>
      </w:pPr>
      <w:r>
        <w:rPr>
          <w:rFonts w:hint="eastAsia" w:ascii="微软雅黑" w:hAnsi="微软雅黑" w:eastAsia="微软雅黑"/>
          <w:b/>
          <w:sz w:val="28"/>
        </w:rPr>
        <w:t>学业奖学金评定详细办法</w:t>
      </w:r>
    </w:p>
    <w:p>
      <w:pPr>
        <w:spacing w:before="156" w:beforeLines="50" w:after="156" w:afterLines="50"/>
        <w:rPr>
          <w:rFonts w:ascii="仿宋" w:hAnsi="仿宋" w:eastAsia="仿宋"/>
          <w:b/>
          <w:sz w:val="24"/>
        </w:rPr>
      </w:pPr>
      <w:r>
        <w:rPr>
          <w:rFonts w:hint="eastAsia" w:ascii="仿宋" w:hAnsi="仿宋" w:eastAsia="仿宋"/>
          <w:b/>
          <w:sz w:val="24"/>
        </w:rPr>
        <w:t>一、M</w:t>
      </w:r>
      <w:r>
        <w:rPr>
          <w:rFonts w:ascii="仿宋" w:hAnsi="仿宋" w:eastAsia="仿宋"/>
          <w:b/>
          <w:sz w:val="24"/>
        </w:rPr>
        <w:t>BA</w:t>
      </w:r>
      <w:r>
        <w:rPr>
          <w:rFonts w:hint="eastAsia" w:ascii="仿宋" w:hAnsi="仿宋" w:eastAsia="仿宋"/>
          <w:b/>
          <w:sz w:val="24"/>
        </w:rPr>
        <w:t>学业奖学金等级、</w:t>
      </w:r>
      <w:r>
        <w:rPr>
          <w:rFonts w:hint="eastAsia" w:ascii="仿宋" w:hAnsi="仿宋" w:eastAsia="仿宋"/>
          <w:b/>
          <w:color w:val="000000" w:themeColor="text1"/>
          <w:sz w:val="24"/>
          <w14:textFill>
            <w14:solidFill>
              <w14:schemeClr w14:val="tx1"/>
            </w14:solidFill>
          </w14:textFill>
        </w:rPr>
        <w:t>最高比例</w:t>
      </w:r>
      <w:r>
        <w:rPr>
          <w:rFonts w:hint="eastAsia" w:ascii="仿宋" w:hAnsi="仿宋" w:eastAsia="仿宋"/>
          <w:b/>
          <w:sz w:val="24"/>
        </w:rPr>
        <w:t>和奖励额度</w:t>
      </w:r>
    </w:p>
    <w:p>
      <w:pPr>
        <w:spacing w:before="156" w:beforeLines="50" w:after="156" w:afterLines="50"/>
        <w:jc w:val="center"/>
        <w:rPr>
          <w:rFonts w:ascii="仿宋" w:hAnsi="仿宋" w:eastAsia="仿宋"/>
        </w:rPr>
      </w:pPr>
      <w:r>
        <w:rPr>
          <w:rFonts w:hint="eastAsia" w:ascii="仿宋" w:hAnsi="仿宋" w:eastAsia="仿宋"/>
          <w:sz w:val="22"/>
        </w:rPr>
        <w:t>表1</w:t>
      </w:r>
      <w:r>
        <w:rPr>
          <w:rFonts w:ascii="仿宋" w:hAnsi="仿宋" w:eastAsia="仿宋"/>
        </w:rPr>
        <w:t xml:space="preserve"> </w:t>
      </w:r>
      <w:r>
        <w:rPr>
          <w:rFonts w:hint="eastAsia" w:ascii="仿宋" w:hAnsi="仿宋" w:eastAsia="仿宋"/>
          <w:sz w:val="22"/>
        </w:rPr>
        <w:t>M</w:t>
      </w:r>
      <w:r>
        <w:rPr>
          <w:rFonts w:ascii="仿宋" w:hAnsi="仿宋" w:eastAsia="仿宋"/>
          <w:sz w:val="22"/>
        </w:rPr>
        <w:t>BA</w:t>
      </w:r>
      <w:r>
        <w:rPr>
          <w:rFonts w:hint="eastAsia" w:ascii="仿宋" w:hAnsi="仿宋" w:eastAsia="仿宋"/>
          <w:sz w:val="22"/>
        </w:rPr>
        <w:t>学业奖学金等级、</w:t>
      </w:r>
      <w:r>
        <w:rPr>
          <w:rFonts w:hint="eastAsia" w:ascii="仿宋" w:hAnsi="仿宋" w:eastAsia="仿宋"/>
          <w:color w:val="000000" w:themeColor="text1"/>
          <w:sz w:val="22"/>
          <w14:textFill>
            <w14:solidFill>
              <w14:schemeClr w14:val="tx1"/>
            </w14:solidFill>
          </w14:textFill>
        </w:rPr>
        <w:t>最高比例</w:t>
      </w:r>
      <w:r>
        <w:rPr>
          <w:rFonts w:hint="eastAsia" w:ascii="仿宋" w:hAnsi="仿宋" w:eastAsia="仿宋"/>
          <w:sz w:val="22"/>
        </w:rPr>
        <w:t>和奖励额度</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2098"/>
        <w:gridCol w:w="1318"/>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tcPr>
          <w:p>
            <w:pPr>
              <w:widowControl/>
              <w:spacing w:line="360" w:lineRule="auto"/>
              <w:jc w:val="center"/>
              <w:rPr>
                <w:rFonts w:ascii="仿宋" w:hAnsi="仿宋" w:eastAsia="仿宋"/>
                <w:b/>
              </w:rPr>
            </w:pPr>
            <w:r>
              <w:rPr>
                <w:rFonts w:hint="eastAsia" w:ascii="仿宋" w:hAnsi="仿宋" w:eastAsia="仿宋"/>
                <w:b/>
              </w:rPr>
              <w:t>类别</w:t>
            </w:r>
          </w:p>
        </w:tc>
        <w:tc>
          <w:tcPr>
            <w:tcW w:w="2098" w:type="dxa"/>
          </w:tcPr>
          <w:p>
            <w:pPr>
              <w:widowControl/>
              <w:spacing w:line="360" w:lineRule="auto"/>
              <w:jc w:val="center"/>
              <w:rPr>
                <w:rFonts w:ascii="仿宋" w:hAnsi="仿宋" w:eastAsia="仿宋"/>
                <w:b/>
              </w:rPr>
            </w:pPr>
            <w:r>
              <w:rPr>
                <w:rFonts w:hint="eastAsia" w:ascii="仿宋" w:hAnsi="仿宋" w:eastAsia="仿宋"/>
                <w:b/>
              </w:rPr>
              <w:t>学业奖学金等级</w:t>
            </w:r>
          </w:p>
        </w:tc>
        <w:tc>
          <w:tcPr>
            <w:tcW w:w="1318" w:type="dxa"/>
          </w:tcPr>
          <w:p>
            <w:pPr>
              <w:widowControl/>
              <w:spacing w:line="360" w:lineRule="auto"/>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最高比例</w:t>
            </w:r>
          </w:p>
        </w:tc>
        <w:tc>
          <w:tcPr>
            <w:tcW w:w="1967" w:type="dxa"/>
          </w:tcPr>
          <w:p>
            <w:pPr>
              <w:widowControl/>
              <w:spacing w:line="360" w:lineRule="auto"/>
              <w:jc w:val="center"/>
              <w:rPr>
                <w:rFonts w:ascii="仿宋" w:hAnsi="仿宋" w:eastAsia="仿宋"/>
                <w:b/>
              </w:rPr>
            </w:pPr>
            <w:r>
              <w:rPr>
                <w:rFonts w:hint="eastAsia" w:ascii="仿宋" w:hAnsi="仿宋" w:eastAsia="仿宋"/>
                <w:b/>
              </w:rPr>
              <w:t>额度（元/年.生）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Merge w:val="restart"/>
            <w:vAlign w:val="center"/>
          </w:tcPr>
          <w:p>
            <w:pPr>
              <w:widowControl/>
              <w:spacing w:line="360" w:lineRule="auto"/>
              <w:jc w:val="center"/>
              <w:rPr>
                <w:rFonts w:ascii="仿宋" w:hAnsi="仿宋" w:eastAsia="仿宋"/>
              </w:rPr>
            </w:pPr>
            <w:r>
              <w:rPr>
                <w:rFonts w:hint="eastAsia" w:ascii="仿宋" w:hAnsi="仿宋" w:eastAsia="仿宋"/>
              </w:rPr>
              <w:t>MBA</w:t>
            </w:r>
          </w:p>
        </w:tc>
        <w:tc>
          <w:tcPr>
            <w:tcW w:w="2098" w:type="dxa"/>
          </w:tcPr>
          <w:p>
            <w:pPr>
              <w:widowControl/>
              <w:spacing w:line="360" w:lineRule="auto"/>
              <w:jc w:val="center"/>
              <w:rPr>
                <w:rFonts w:ascii="仿宋" w:hAnsi="仿宋" w:eastAsia="仿宋"/>
              </w:rPr>
            </w:pPr>
            <w:r>
              <w:rPr>
                <w:rFonts w:hint="eastAsia" w:ascii="仿宋" w:hAnsi="仿宋" w:eastAsia="仿宋"/>
              </w:rPr>
              <w:t>一等奖</w:t>
            </w:r>
          </w:p>
        </w:tc>
        <w:tc>
          <w:tcPr>
            <w:tcW w:w="1318" w:type="dxa"/>
          </w:tcPr>
          <w:p>
            <w:pPr>
              <w:widowControl/>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w:t>
            </w:r>
          </w:p>
        </w:tc>
        <w:tc>
          <w:tcPr>
            <w:tcW w:w="1967" w:type="dxa"/>
          </w:tcPr>
          <w:p>
            <w:pPr>
              <w:widowControl/>
              <w:spacing w:line="360" w:lineRule="auto"/>
              <w:jc w:val="center"/>
              <w:rPr>
                <w:rFonts w:ascii="仿宋" w:hAnsi="仿宋" w:eastAsia="仿宋"/>
              </w:rPr>
            </w:pPr>
            <w:r>
              <w:rPr>
                <w:rFonts w:hint="eastAsia" w:ascii="仿宋" w:hAnsi="仿宋" w:eastAsia="仿宋"/>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Merge w:val="continue"/>
          </w:tcPr>
          <w:p>
            <w:pPr>
              <w:widowControl/>
              <w:spacing w:line="360" w:lineRule="auto"/>
              <w:jc w:val="left"/>
              <w:rPr>
                <w:rFonts w:ascii="仿宋" w:hAnsi="仿宋" w:eastAsia="仿宋"/>
              </w:rPr>
            </w:pPr>
          </w:p>
        </w:tc>
        <w:tc>
          <w:tcPr>
            <w:tcW w:w="2098" w:type="dxa"/>
          </w:tcPr>
          <w:p>
            <w:pPr>
              <w:widowControl/>
              <w:spacing w:line="360" w:lineRule="auto"/>
              <w:jc w:val="center"/>
              <w:rPr>
                <w:rFonts w:ascii="仿宋" w:hAnsi="仿宋" w:eastAsia="仿宋"/>
              </w:rPr>
            </w:pPr>
            <w:r>
              <w:rPr>
                <w:rFonts w:hint="eastAsia" w:ascii="仿宋" w:hAnsi="仿宋" w:eastAsia="仿宋"/>
              </w:rPr>
              <w:t>二等奖</w:t>
            </w:r>
          </w:p>
        </w:tc>
        <w:tc>
          <w:tcPr>
            <w:tcW w:w="1318" w:type="dxa"/>
          </w:tcPr>
          <w:p>
            <w:pPr>
              <w:widowControl/>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25%</w:t>
            </w:r>
          </w:p>
        </w:tc>
        <w:tc>
          <w:tcPr>
            <w:tcW w:w="1967" w:type="dxa"/>
          </w:tcPr>
          <w:p>
            <w:pPr>
              <w:widowControl/>
              <w:spacing w:line="360" w:lineRule="auto"/>
              <w:jc w:val="center"/>
              <w:rPr>
                <w:rFonts w:ascii="仿宋" w:hAnsi="仿宋" w:eastAsia="仿宋"/>
              </w:rPr>
            </w:pPr>
            <w:r>
              <w:rPr>
                <w:rFonts w:hint="eastAsia" w:ascii="仿宋" w:hAnsi="仿宋" w:eastAsia="仿宋"/>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Merge w:val="continue"/>
          </w:tcPr>
          <w:p>
            <w:pPr>
              <w:widowControl/>
              <w:spacing w:line="360" w:lineRule="auto"/>
              <w:jc w:val="left"/>
              <w:rPr>
                <w:rFonts w:ascii="仿宋" w:hAnsi="仿宋" w:eastAsia="仿宋"/>
              </w:rPr>
            </w:pPr>
          </w:p>
        </w:tc>
        <w:tc>
          <w:tcPr>
            <w:tcW w:w="2098" w:type="dxa"/>
          </w:tcPr>
          <w:p>
            <w:pPr>
              <w:widowControl/>
              <w:spacing w:line="360" w:lineRule="auto"/>
              <w:jc w:val="center"/>
              <w:rPr>
                <w:rFonts w:ascii="仿宋" w:hAnsi="仿宋" w:eastAsia="仿宋"/>
              </w:rPr>
            </w:pPr>
            <w:r>
              <w:rPr>
                <w:rFonts w:hint="eastAsia" w:ascii="仿宋" w:hAnsi="仿宋" w:eastAsia="仿宋"/>
              </w:rPr>
              <w:t>三等奖</w:t>
            </w:r>
          </w:p>
        </w:tc>
        <w:tc>
          <w:tcPr>
            <w:tcW w:w="1318" w:type="dxa"/>
          </w:tcPr>
          <w:p>
            <w:pPr>
              <w:widowControl/>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30%</w:t>
            </w:r>
          </w:p>
        </w:tc>
        <w:tc>
          <w:tcPr>
            <w:tcW w:w="1967" w:type="dxa"/>
          </w:tcPr>
          <w:p>
            <w:pPr>
              <w:widowControl/>
              <w:spacing w:line="360" w:lineRule="auto"/>
              <w:jc w:val="center"/>
              <w:rPr>
                <w:rFonts w:ascii="仿宋" w:hAnsi="仿宋" w:eastAsia="仿宋"/>
              </w:rPr>
            </w:pPr>
            <w:r>
              <w:rPr>
                <w:rFonts w:hint="eastAsia" w:ascii="仿宋" w:hAnsi="仿宋" w:eastAsia="仿宋"/>
              </w:rPr>
              <w:t>4000</w:t>
            </w:r>
          </w:p>
        </w:tc>
      </w:tr>
    </w:tbl>
    <w:p>
      <w:pPr>
        <w:rPr>
          <w:rFonts w:ascii="仿宋" w:hAnsi="仿宋" w:eastAsia="仿宋"/>
          <w:b/>
          <w:sz w:val="24"/>
        </w:rPr>
      </w:pPr>
    </w:p>
    <w:p>
      <w:pPr>
        <w:spacing w:before="156" w:beforeLines="50" w:after="156" w:afterLines="50"/>
        <w:rPr>
          <w:rFonts w:ascii="仿宋" w:hAnsi="仿宋" w:eastAsia="仿宋"/>
          <w:b/>
          <w:sz w:val="24"/>
        </w:rPr>
      </w:pPr>
      <w:r>
        <w:rPr>
          <w:rFonts w:hint="eastAsia" w:ascii="仿宋" w:hAnsi="仿宋" w:eastAsia="仿宋"/>
          <w:b/>
          <w:sz w:val="24"/>
        </w:rPr>
        <w:t>二、M</w:t>
      </w:r>
      <w:r>
        <w:rPr>
          <w:rFonts w:ascii="仿宋" w:hAnsi="仿宋" w:eastAsia="仿宋"/>
          <w:b/>
          <w:sz w:val="24"/>
        </w:rPr>
        <w:t>BA</w:t>
      </w:r>
      <w:r>
        <w:rPr>
          <w:rFonts w:hint="eastAsia" w:ascii="仿宋" w:hAnsi="仿宋" w:eastAsia="仿宋"/>
          <w:b/>
          <w:sz w:val="24"/>
        </w:rPr>
        <w:t>学业奖学金最终成绩计算标准</w:t>
      </w:r>
    </w:p>
    <w:p>
      <w:pPr>
        <w:widowControl/>
        <w:shd w:val="clear" w:color="auto" w:fill="FFFFFF"/>
        <w:spacing w:line="360" w:lineRule="auto"/>
        <w:ind w:firstLine="480" w:firstLineChars="200"/>
        <w:jc w:val="left"/>
        <w:rPr>
          <w:rFonts w:ascii="仿宋" w:hAnsi="仿宋" w:eastAsia="仿宋"/>
          <w:sz w:val="24"/>
        </w:rPr>
      </w:pPr>
      <w:r>
        <w:rPr>
          <w:rFonts w:hint="eastAsia" w:ascii="仿宋" w:hAnsi="仿宋" w:eastAsia="仿宋"/>
          <w:sz w:val="24"/>
        </w:rPr>
        <w:t>1、MBA学业奖学金评定细则。</w:t>
      </w:r>
    </w:p>
    <w:p>
      <w:pPr>
        <w:widowControl/>
        <w:shd w:val="clear" w:color="auto" w:fill="FFFFFF"/>
        <w:spacing w:line="360" w:lineRule="auto"/>
        <w:ind w:firstLine="480" w:firstLineChars="200"/>
        <w:jc w:val="left"/>
        <w:rPr>
          <w:rFonts w:ascii="仿宋" w:hAnsi="仿宋" w:eastAsia="仿宋"/>
          <w:sz w:val="24"/>
        </w:rPr>
      </w:pPr>
      <w:r>
        <w:rPr>
          <w:rFonts w:hint="eastAsia" w:ascii="仿宋" w:hAnsi="仿宋" w:eastAsia="仿宋"/>
          <w:sz w:val="24"/>
        </w:rPr>
        <w:t>（1）二年级MBA学业奖学金按照课程成绩、科研成绩等发展性素质方面取得的成绩进行综合排名，成绩依据表2、表3、表4项目进行相应计分。</w:t>
      </w:r>
    </w:p>
    <w:p>
      <w:pPr>
        <w:widowControl/>
        <w:shd w:val="clear" w:color="auto" w:fill="FFFFFF"/>
        <w:spacing w:line="360" w:lineRule="auto"/>
        <w:ind w:firstLine="440" w:firstLineChars="200"/>
        <w:jc w:val="center"/>
        <w:rPr>
          <w:rFonts w:ascii="仿宋" w:hAnsi="仿宋" w:eastAsia="仿宋"/>
          <w:sz w:val="22"/>
        </w:rPr>
      </w:pPr>
      <w:r>
        <w:rPr>
          <w:rFonts w:hint="eastAsia" w:ascii="仿宋" w:hAnsi="仿宋" w:eastAsia="仿宋"/>
          <w:sz w:val="22"/>
        </w:rPr>
        <w:t>表2</w:t>
      </w:r>
      <w:r>
        <w:rPr>
          <w:rFonts w:eastAsia="仿宋" w:cs="Calibri"/>
          <w:sz w:val="22"/>
        </w:rPr>
        <w:t xml:space="preserve"> </w:t>
      </w:r>
      <w:r>
        <w:rPr>
          <w:rFonts w:hint="eastAsia" w:ascii="仿宋" w:hAnsi="仿宋" w:eastAsia="仿宋"/>
          <w:sz w:val="24"/>
        </w:rPr>
        <w:t>二年级</w:t>
      </w:r>
      <w:r>
        <w:rPr>
          <w:rFonts w:hint="eastAsia" w:ascii="仿宋" w:hAnsi="仿宋" w:eastAsia="仿宋"/>
          <w:sz w:val="22"/>
        </w:rPr>
        <w:t>MBA学业奖学金评分细则</w:t>
      </w:r>
    </w:p>
    <w:tbl>
      <w:tblPr>
        <w:tblStyle w:val="5"/>
        <w:tblW w:w="8799" w:type="dxa"/>
        <w:tblInd w:w="0" w:type="dxa"/>
        <w:shd w:val="clear" w:color="auto" w:fill="FFFFFF"/>
        <w:tblLayout w:type="autofit"/>
        <w:tblCellMar>
          <w:top w:w="0" w:type="dxa"/>
          <w:left w:w="0" w:type="dxa"/>
          <w:bottom w:w="0" w:type="dxa"/>
          <w:right w:w="0" w:type="dxa"/>
        </w:tblCellMar>
      </w:tblPr>
      <w:tblGrid>
        <w:gridCol w:w="1428"/>
        <w:gridCol w:w="1276"/>
        <w:gridCol w:w="6095"/>
      </w:tblGrid>
      <w:tr>
        <w:tblPrEx>
          <w:shd w:val="clear" w:color="auto" w:fill="FFFFFF"/>
          <w:tblCellMar>
            <w:top w:w="0" w:type="dxa"/>
            <w:left w:w="0" w:type="dxa"/>
            <w:bottom w:w="0" w:type="dxa"/>
            <w:right w:w="0" w:type="dxa"/>
          </w:tblCellMar>
        </w:tblPrEx>
        <w:tc>
          <w:tcPr>
            <w:tcW w:w="14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jc w:val="center"/>
              <w:rPr>
                <w:rFonts w:ascii="仿宋" w:hAnsi="仿宋" w:eastAsia="仿宋" w:cs="宋体"/>
                <w:color w:val="313131"/>
                <w:kern w:val="0"/>
                <w:sz w:val="18"/>
                <w:szCs w:val="21"/>
              </w:rPr>
            </w:pPr>
            <w:r>
              <w:rPr>
                <w:rFonts w:hint="eastAsia" w:ascii="仿宋" w:hAnsi="仿宋" w:eastAsia="仿宋" w:cs="宋体"/>
                <w:b/>
                <w:bCs/>
                <w:color w:val="000000"/>
                <w:kern w:val="0"/>
                <w:sz w:val="18"/>
                <w:szCs w:val="24"/>
              </w:rPr>
              <w:t>评分项目</w:t>
            </w:r>
          </w:p>
        </w:tc>
        <w:tc>
          <w:tcPr>
            <w:tcW w:w="127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jc w:val="center"/>
              <w:rPr>
                <w:rFonts w:ascii="仿宋" w:hAnsi="仿宋" w:eastAsia="仿宋" w:cs="宋体"/>
                <w:color w:val="313131"/>
                <w:kern w:val="0"/>
                <w:sz w:val="18"/>
                <w:szCs w:val="21"/>
              </w:rPr>
            </w:pPr>
            <w:r>
              <w:rPr>
                <w:rFonts w:hint="eastAsia" w:ascii="仿宋" w:hAnsi="仿宋" w:eastAsia="仿宋" w:cs="宋体"/>
                <w:b/>
                <w:bCs/>
                <w:color w:val="000000"/>
                <w:kern w:val="0"/>
                <w:sz w:val="18"/>
                <w:szCs w:val="24"/>
              </w:rPr>
              <w:t>所占比例</w:t>
            </w:r>
          </w:p>
        </w:tc>
        <w:tc>
          <w:tcPr>
            <w:tcW w:w="609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jc w:val="center"/>
              <w:rPr>
                <w:rFonts w:ascii="仿宋" w:hAnsi="仿宋" w:eastAsia="仿宋" w:cs="宋体"/>
                <w:color w:val="313131"/>
                <w:kern w:val="0"/>
                <w:sz w:val="18"/>
                <w:szCs w:val="21"/>
              </w:rPr>
            </w:pPr>
            <w:r>
              <w:rPr>
                <w:rFonts w:hint="eastAsia" w:ascii="仿宋" w:hAnsi="仿宋" w:eastAsia="仿宋" w:cs="宋体"/>
                <w:b/>
                <w:bCs/>
                <w:color w:val="000000"/>
                <w:kern w:val="0"/>
                <w:sz w:val="18"/>
                <w:szCs w:val="24"/>
              </w:rPr>
              <w:t>评分依据</w:t>
            </w:r>
          </w:p>
        </w:tc>
      </w:tr>
      <w:tr>
        <w:tblPrEx>
          <w:tblCellMar>
            <w:top w:w="0" w:type="dxa"/>
            <w:left w:w="0" w:type="dxa"/>
            <w:bottom w:w="0" w:type="dxa"/>
            <w:right w:w="0" w:type="dxa"/>
          </w:tblCellMar>
        </w:tblPrEx>
        <w:tc>
          <w:tcPr>
            <w:tcW w:w="14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课程成绩</w:t>
            </w:r>
          </w:p>
        </w:tc>
        <w:tc>
          <w:tcPr>
            <w:tcW w:w="127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70%</w:t>
            </w:r>
          </w:p>
        </w:tc>
        <w:tc>
          <w:tcPr>
            <w:tcW w:w="609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具有申请资格的MBA学生根据所修上一学年学位课程学分加权平均分进行比例换算。</w:t>
            </w:r>
          </w:p>
        </w:tc>
      </w:tr>
      <w:tr>
        <w:tblPrEx>
          <w:shd w:val="clear" w:color="auto" w:fill="FFFFFF"/>
          <w:tblCellMar>
            <w:top w:w="0" w:type="dxa"/>
            <w:left w:w="0" w:type="dxa"/>
            <w:bottom w:w="0" w:type="dxa"/>
            <w:right w:w="0" w:type="dxa"/>
          </w:tblCellMar>
        </w:tblPrEx>
        <w:tc>
          <w:tcPr>
            <w:tcW w:w="14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科研成绩</w:t>
            </w:r>
          </w:p>
        </w:tc>
        <w:tc>
          <w:tcPr>
            <w:tcW w:w="127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5%</w:t>
            </w:r>
          </w:p>
        </w:tc>
        <w:tc>
          <w:tcPr>
            <w:tcW w:w="609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依</w:t>
            </w:r>
            <w:r>
              <w:rPr>
                <w:rFonts w:hint="eastAsia" w:ascii="仿宋" w:hAnsi="仿宋" w:eastAsia="仿宋" w:cs="宋体"/>
                <w:color w:val="000000" w:themeColor="text1"/>
                <w:kern w:val="0"/>
                <w:sz w:val="18"/>
                <w:szCs w:val="18"/>
                <w14:textFill>
                  <w14:solidFill>
                    <w14:schemeClr w14:val="tx1"/>
                  </w14:solidFill>
                </w14:textFill>
              </w:rPr>
              <w:t>据在上一学年内科</w:t>
            </w:r>
            <w:r>
              <w:rPr>
                <w:rFonts w:hint="eastAsia" w:ascii="仿宋" w:hAnsi="仿宋" w:eastAsia="仿宋" w:cs="宋体"/>
                <w:color w:val="313131"/>
                <w:kern w:val="0"/>
                <w:sz w:val="18"/>
                <w:szCs w:val="18"/>
              </w:rPr>
              <w:t>技成果等级计分，详见计分标准。</w:t>
            </w:r>
          </w:p>
        </w:tc>
      </w:tr>
      <w:tr>
        <w:tblPrEx>
          <w:tblCellMar>
            <w:top w:w="0" w:type="dxa"/>
            <w:left w:w="0" w:type="dxa"/>
            <w:bottom w:w="0" w:type="dxa"/>
            <w:right w:w="0" w:type="dxa"/>
          </w:tblCellMar>
        </w:tblPrEx>
        <w:tc>
          <w:tcPr>
            <w:tcW w:w="14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学科竞赛</w:t>
            </w:r>
          </w:p>
        </w:tc>
        <w:tc>
          <w:tcPr>
            <w:tcW w:w="127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10%</w:t>
            </w:r>
          </w:p>
        </w:tc>
        <w:tc>
          <w:tcPr>
            <w:tcW w:w="609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在</w:t>
            </w:r>
            <w:r>
              <w:rPr>
                <w:rFonts w:hint="eastAsia" w:ascii="仿宋" w:hAnsi="仿宋" w:eastAsia="仿宋" w:cs="宋体"/>
                <w:color w:val="000000" w:themeColor="text1"/>
                <w:kern w:val="0"/>
                <w:sz w:val="18"/>
                <w:szCs w:val="18"/>
                <w14:textFill>
                  <w14:solidFill>
                    <w14:schemeClr w14:val="tx1"/>
                  </w14:solidFill>
                </w14:textFill>
              </w:rPr>
              <w:t>上一学年内，参</w:t>
            </w:r>
            <w:r>
              <w:rPr>
                <w:rFonts w:hint="eastAsia" w:ascii="仿宋" w:hAnsi="仿宋" w:eastAsia="仿宋" w:cs="宋体"/>
                <w:color w:val="313131"/>
                <w:kern w:val="0"/>
                <w:sz w:val="18"/>
                <w:szCs w:val="18"/>
              </w:rPr>
              <w:t>加国家级、省部级、市校级及国内外权威机构组织的、经学院研究生奖学金评审委员会认定的正式学科竞赛（包括管理案例大赛、GMC挑战赛、全国高校企业竞争模拟大赛、全国MBA培养院校企业竞争模拟大赛、数学建模竞赛、创业大赛等）并在竞赛中获奖的，以及获全国性或西南地区MBA荣誉称号的，提交获奖证书复印件并出示原件进行计分，详见计分标准。</w:t>
            </w:r>
          </w:p>
        </w:tc>
      </w:tr>
      <w:tr>
        <w:tblPrEx>
          <w:tblCellMar>
            <w:top w:w="0" w:type="dxa"/>
            <w:left w:w="0" w:type="dxa"/>
            <w:bottom w:w="0" w:type="dxa"/>
            <w:right w:w="0" w:type="dxa"/>
          </w:tblCellMar>
        </w:tblPrEx>
        <w:tc>
          <w:tcPr>
            <w:tcW w:w="14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创新创业</w:t>
            </w:r>
          </w:p>
        </w:tc>
        <w:tc>
          <w:tcPr>
            <w:tcW w:w="127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5%</w:t>
            </w:r>
          </w:p>
        </w:tc>
        <w:tc>
          <w:tcPr>
            <w:tcW w:w="609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根据在工作中的创新与创业（</w:t>
            </w:r>
            <w:r>
              <w:rPr>
                <w:rFonts w:hint="eastAsia" w:ascii="仿宋" w:hAnsi="仿宋" w:eastAsia="仿宋" w:cs="宋体"/>
                <w:kern w:val="0"/>
                <w:sz w:val="18"/>
                <w:szCs w:val="18"/>
              </w:rPr>
              <w:t>需附当前经营状态为存续的企业</w:t>
            </w:r>
            <w:r>
              <w:rPr>
                <w:rFonts w:hint="eastAsia" w:ascii="仿宋" w:hAnsi="仿宋" w:eastAsia="仿宋" w:cs="宋体"/>
                <w:color w:val="313131"/>
                <w:kern w:val="0"/>
                <w:sz w:val="18"/>
                <w:szCs w:val="18"/>
              </w:rPr>
              <w:t>相关注册等证明原件和复印件，至少应持股30%及以上）情况计分，详见计分标准。</w:t>
            </w:r>
          </w:p>
        </w:tc>
      </w:tr>
      <w:tr>
        <w:tblPrEx>
          <w:tblCellMar>
            <w:top w:w="0" w:type="dxa"/>
            <w:left w:w="0" w:type="dxa"/>
            <w:bottom w:w="0" w:type="dxa"/>
            <w:right w:w="0" w:type="dxa"/>
          </w:tblCellMar>
        </w:tblPrEx>
        <w:tc>
          <w:tcPr>
            <w:tcW w:w="14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公共服务及活动参与</w:t>
            </w:r>
          </w:p>
        </w:tc>
        <w:tc>
          <w:tcPr>
            <w:tcW w:w="127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10%</w:t>
            </w:r>
          </w:p>
        </w:tc>
        <w:tc>
          <w:tcPr>
            <w:tcW w:w="609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在</w:t>
            </w:r>
            <w:r>
              <w:rPr>
                <w:rFonts w:hint="eastAsia" w:ascii="仿宋" w:hAnsi="仿宋" w:eastAsia="仿宋" w:cs="宋体"/>
                <w:color w:val="000000" w:themeColor="text1"/>
                <w:kern w:val="0"/>
                <w:sz w:val="18"/>
                <w:szCs w:val="18"/>
                <w14:textFill>
                  <w14:solidFill>
                    <w14:schemeClr w14:val="tx1"/>
                  </w14:solidFill>
                </w14:textFill>
              </w:rPr>
              <w:t>上一学年</w:t>
            </w:r>
            <w:r>
              <w:rPr>
                <w:rFonts w:hint="eastAsia" w:ascii="仿宋" w:hAnsi="仿宋" w:eastAsia="仿宋" w:cs="宋体"/>
                <w:color w:val="313131"/>
                <w:kern w:val="0"/>
                <w:sz w:val="18"/>
                <w:szCs w:val="18"/>
              </w:rPr>
              <w:t>内，积极组织和参与各项针对MBA学生的校内外活动，为本班级、MBA学生联合会、MBA校友会、MBA教育中心和学院做出了一定的贡献，据实际情况计分，详见计分标准。</w:t>
            </w:r>
          </w:p>
        </w:tc>
      </w:tr>
    </w:tbl>
    <w:p>
      <w:pPr>
        <w:widowControl/>
        <w:shd w:val="clear" w:color="auto" w:fill="FFFFFF"/>
        <w:spacing w:line="360" w:lineRule="auto"/>
        <w:ind w:firstLine="440" w:firstLineChars="200"/>
        <w:jc w:val="center"/>
        <w:rPr>
          <w:rFonts w:ascii="仿宋" w:hAnsi="仿宋" w:eastAsia="仿宋"/>
          <w:sz w:val="22"/>
        </w:rPr>
      </w:pPr>
      <w:r>
        <w:rPr>
          <w:rFonts w:hint="eastAsia" w:ascii="仿宋" w:hAnsi="仿宋" w:eastAsia="仿宋"/>
          <w:sz w:val="22"/>
        </w:rPr>
        <w:t>表3</w:t>
      </w:r>
      <w:r>
        <w:rPr>
          <w:rFonts w:ascii="仿宋" w:hAnsi="仿宋" w:eastAsia="仿宋"/>
          <w:sz w:val="22"/>
        </w:rPr>
        <w:t xml:space="preserve"> </w:t>
      </w:r>
      <w:r>
        <w:rPr>
          <w:rFonts w:hint="eastAsia" w:ascii="仿宋" w:hAnsi="仿宋" w:eastAsia="仿宋"/>
          <w:sz w:val="22"/>
        </w:rPr>
        <w:t>二年级MBA硕士研究生学业奖学金发展性素质计分标准</w:t>
      </w:r>
    </w:p>
    <w:tbl>
      <w:tblPr>
        <w:tblStyle w:val="5"/>
        <w:tblW w:w="8657" w:type="dxa"/>
        <w:tblInd w:w="0" w:type="dxa"/>
        <w:shd w:val="clear" w:color="auto" w:fill="FFFFFF"/>
        <w:tblLayout w:type="autofit"/>
        <w:tblCellMar>
          <w:top w:w="0" w:type="dxa"/>
          <w:left w:w="0" w:type="dxa"/>
          <w:bottom w:w="0" w:type="dxa"/>
          <w:right w:w="0" w:type="dxa"/>
        </w:tblCellMar>
      </w:tblPr>
      <w:tblGrid>
        <w:gridCol w:w="861"/>
        <w:gridCol w:w="1559"/>
        <w:gridCol w:w="1701"/>
        <w:gridCol w:w="1559"/>
        <w:gridCol w:w="1560"/>
        <w:gridCol w:w="1417"/>
      </w:tblGrid>
      <w:tr>
        <w:tblPrEx>
          <w:tblCellMar>
            <w:top w:w="0" w:type="dxa"/>
            <w:left w:w="0" w:type="dxa"/>
            <w:bottom w:w="0" w:type="dxa"/>
            <w:right w:w="0" w:type="dxa"/>
          </w:tblCellMar>
        </w:tblPrEx>
        <w:tc>
          <w:tcPr>
            <w:tcW w:w="242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b/>
                <w:color w:val="313131"/>
                <w:kern w:val="0"/>
                <w:sz w:val="18"/>
                <w:szCs w:val="18"/>
              </w:rPr>
            </w:pPr>
            <w:r>
              <w:rPr>
                <w:rFonts w:hint="eastAsia" w:ascii="仿宋" w:hAnsi="仿宋" w:eastAsia="仿宋" w:cs="宋体"/>
                <w:b/>
                <w:color w:val="313131"/>
                <w:kern w:val="0"/>
                <w:sz w:val="18"/>
                <w:szCs w:val="18"/>
              </w:rPr>
              <w:t>参考计分</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b/>
                <w:color w:val="313131"/>
                <w:kern w:val="0"/>
                <w:sz w:val="18"/>
                <w:szCs w:val="18"/>
              </w:rPr>
            </w:pPr>
            <w:r>
              <w:rPr>
                <w:rFonts w:hint="eastAsia" w:ascii="仿宋" w:hAnsi="仿宋" w:eastAsia="仿宋" w:cs="宋体"/>
                <w:b/>
                <w:color w:val="313131"/>
                <w:kern w:val="0"/>
                <w:sz w:val="18"/>
                <w:szCs w:val="18"/>
              </w:rPr>
              <w:t>4</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b/>
                <w:color w:val="313131"/>
                <w:kern w:val="0"/>
                <w:sz w:val="18"/>
                <w:szCs w:val="18"/>
              </w:rPr>
            </w:pPr>
            <w:r>
              <w:rPr>
                <w:rFonts w:hint="eastAsia" w:ascii="仿宋" w:hAnsi="仿宋" w:eastAsia="仿宋" w:cs="宋体"/>
                <w:b/>
                <w:color w:val="313131"/>
                <w:kern w:val="0"/>
                <w:sz w:val="18"/>
                <w:szCs w:val="18"/>
              </w:rPr>
              <w:t>3</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b/>
                <w:color w:val="313131"/>
                <w:kern w:val="0"/>
                <w:sz w:val="18"/>
                <w:szCs w:val="18"/>
              </w:rPr>
            </w:pPr>
            <w:r>
              <w:rPr>
                <w:rFonts w:hint="eastAsia" w:ascii="仿宋" w:hAnsi="仿宋" w:eastAsia="仿宋" w:cs="宋体"/>
                <w:b/>
                <w:color w:val="313131"/>
                <w:kern w:val="0"/>
                <w:sz w:val="18"/>
                <w:szCs w:val="18"/>
              </w:rPr>
              <w:t>2</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b/>
                <w:color w:val="313131"/>
                <w:kern w:val="0"/>
                <w:sz w:val="18"/>
                <w:szCs w:val="18"/>
              </w:rPr>
            </w:pPr>
            <w:r>
              <w:rPr>
                <w:rFonts w:hint="eastAsia" w:ascii="仿宋" w:hAnsi="仿宋" w:eastAsia="仿宋" w:cs="宋体"/>
                <w:b/>
                <w:color w:val="313131"/>
                <w:kern w:val="0"/>
                <w:sz w:val="18"/>
                <w:szCs w:val="18"/>
              </w:rPr>
              <w:t>1</w:t>
            </w:r>
          </w:p>
        </w:tc>
      </w:tr>
      <w:tr>
        <w:tblPrEx>
          <w:shd w:val="clear" w:color="auto" w:fill="FFFFFF"/>
          <w:tblCellMar>
            <w:top w:w="0" w:type="dxa"/>
            <w:left w:w="0" w:type="dxa"/>
            <w:bottom w:w="0" w:type="dxa"/>
            <w:right w:w="0" w:type="dxa"/>
          </w:tblCellMar>
        </w:tblPrEx>
        <w:tc>
          <w:tcPr>
            <w:tcW w:w="242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获奖等级</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特等奖/</w:t>
            </w:r>
            <w:r>
              <w:rPr>
                <w:rFonts w:ascii="Calibri" w:hAnsi="Calibri" w:eastAsia="仿宋" w:cs="Calibri"/>
                <w:color w:val="313131"/>
                <w:kern w:val="0"/>
                <w:sz w:val="18"/>
                <w:szCs w:val="18"/>
              </w:rPr>
              <w:t> </w:t>
            </w:r>
            <w:r>
              <w:rPr>
                <w:rFonts w:hint="eastAsia" w:ascii="仿宋" w:hAnsi="仿宋" w:eastAsia="仿宋" w:cs="宋体"/>
                <w:color w:val="313131"/>
                <w:kern w:val="0"/>
                <w:sz w:val="18"/>
                <w:szCs w:val="18"/>
              </w:rPr>
              <w:t>一等奖</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二等奖</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三等奖</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鼓励奖/优胜奖</w:t>
            </w:r>
          </w:p>
        </w:tc>
      </w:tr>
      <w:tr>
        <w:tblPrEx>
          <w:shd w:val="clear" w:color="auto" w:fill="FFFFFF"/>
          <w:tblCellMar>
            <w:top w:w="0" w:type="dxa"/>
            <w:left w:w="0" w:type="dxa"/>
            <w:bottom w:w="0" w:type="dxa"/>
            <w:right w:w="0" w:type="dxa"/>
          </w:tblCellMar>
        </w:tblPrEx>
        <w:tc>
          <w:tcPr>
            <w:tcW w:w="242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名次</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1</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2</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3—4</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参与者</w:t>
            </w:r>
          </w:p>
        </w:tc>
      </w:tr>
      <w:tr>
        <w:tblPrEx>
          <w:tblCellMar>
            <w:top w:w="0" w:type="dxa"/>
            <w:left w:w="0" w:type="dxa"/>
            <w:bottom w:w="0" w:type="dxa"/>
            <w:right w:w="0" w:type="dxa"/>
          </w:tblCellMar>
        </w:tblPrEx>
        <w:tc>
          <w:tcPr>
            <w:tcW w:w="861"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科研成绩</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科技学术论文</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第1作者</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第2作者</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第3作者</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第4—5作者</w:t>
            </w:r>
          </w:p>
        </w:tc>
      </w:tr>
      <w:tr>
        <w:tblPrEx>
          <w:shd w:val="clear" w:color="auto" w:fill="FFFFFF"/>
          <w:tblCellMar>
            <w:top w:w="0" w:type="dxa"/>
            <w:left w:w="0" w:type="dxa"/>
            <w:bottom w:w="0" w:type="dxa"/>
            <w:right w:w="0" w:type="dxa"/>
          </w:tblCellMar>
        </w:tblPrEx>
        <w:tc>
          <w:tcPr>
            <w:tcW w:w="86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其他科技成果</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国家级</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部、省级</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市级</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p>
        </w:tc>
      </w:tr>
      <w:tr>
        <w:tblPrEx>
          <w:tblCellMar>
            <w:top w:w="0" w:type="dxa"/>
            <w:left w:w="0" w:type="dxa"/>
            <w:bottom w:w="0" w:type="dxa"/>
            <w:right w:w="0" w:type="dxa"/>
          </w:tblCellMar>
        </w:tblPrEx>
        <w:tc>
          <w:tcPr>
            <w:tcW w:w="861"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学科竞赛</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各类竞赛</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特等奖/</w:t>
            </w:r>
            <w:r>
              <w:rPr>
                <w:rFonts w:ascii="Calibri" w:hAnsi="Calibri" w:eastAsia="仿宋" w:cs="Calibri"/>
                <w:color w:val="313131"/>
                <w:kern w:val="0"/>
                <w:sz w:val="18"/>
                <w:szCs w:val="18"/>
              </w:rPr>
              <w:t> </w:t>
            </w:r>
            <w:r>
              <w:rPr>
                <w:rFonts w:hint="eastAsia" w:ascii="仿宋" w:hAnsi="仿宋" w:eastAsia="仿宋" w:cs="宋体"/>
                <w:color w:val="313131"/>
                <w:kern w:val="0"/>
                <w:sz w:val="18"/>
                <w:szCs w:val="18"/>
              </w:rPr>
              <w:t>一等奖</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二等奖</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三等奖</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鼓励奖/优胜奖</w:t>
            </w:r>
          </w:p>
        </w:tc>
      </w:tr>
      <w:tr>
        <w:tblPrEx>
          <w:tblCellMar>
            <w:top w:w="0" w:type="dxa"/>
            <w:left w:w="0" w:type="dxa"/>
            <w:bottom w:w="0" w:type="dxa"/>
            <w:right w:w="0" w:type="dxa"/>
          </w:tblCellMar>
        </w:tblPrEx>
        <w:tc>
          <w:tcPr>
            <w:tcW w:w="86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MBA荣誉</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315"/>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全国性</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地区性</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kern w:val="0"/>
                <w:sz w:val="18"/>
                <w:szCs w:val="18"/>
              </w:rPr>
            </w:pPr>
          </w:p>
        </w:tc>
      </w:tr>
      <w:tr>
        <w:tblPrEx>
          <w:tblCellMar>
            <w:top w:w="0" w:type="dxa"/>
            <w:left w:w="0" w:type="dxa"/>
            <w:bottom w:w="0" w:type="dxa"/>
            <w:right w:w="0" w:type="dxa"/>
          </w:tblCellMar>
        </w:tblPrEx>
        <w:tc>
          <w:tcPr>
            <w:tcW w:w="86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创新创业</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公司及企业规模</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大型/国家高新技术企业</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中型</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小型</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微型</w:t>
            </w:r>
          </w:p>
        </w:tc>
      </w:tr>
      <w:tr>
        <w:tblPrEx>
          <w:tblCellMar>
            <w:top w:w="0" w:type="dxa"/>
            <w:left w:w="0" w:type="dxa"/>
            <w:bottom w:w="0" w:type="dxa"/>
            <w:right w:w="0" w:type="dxa"/>
          </w:tblCellMar>
        </w:tblPrEx>
        <w:tc>
          <w:tcPr>
            <w:tcW w:w="861"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公共服务</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联合会干部考核</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优</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良</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合格</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p>
        </w:tc>
      </w:tr>
      <w:tr>
        <w:tblPrEx>
          <w:shd w:val="clear" w:color="auto" w:fill="FFFFFF"/>
          <w:tblCellMar>
            <w:top w:w="0" w:type="dxa"/>
            <w:left w:w="0" w:type="dxa"/>
            <w:bottom w:w="0" w:type="dxa"/>
            <w:right w:w="0" w:type="dxa"/>
          </w:tblCellMar>
        </w:tblPrEx>
        <w:tc>
          <w:tcPr>
            <w:tcW w:w="86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班委/党支部干部考核</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优</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良</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合格</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p>
        </w:tc>
      </w:tr>
      <w:tr>
        <w:tblPrEx>
          <w:shd w:val="clear" w:color="auto" w:fill="FFFFFF"/>
          <w:tblCellMar>
            <w:top w:w="0" w:type="dxa"/>
            <w:left w:w="0" w:type="dxa"/>
            <w:bottom w:w="0" w:type="dxa"/>
            <w:right w:w="0" w:type="dxa"/>
          </w:tblCellMar>
        </w:tblPrEx>
        <w:tc>
          <w:tcPr>
            <w:tcW w:w="86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俱乐部/社团干部考核</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优</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良</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合格</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p>
        </w:tc>
      </w:tr>
      <w:tr>
        <w:tblPrEx>
          <w:shd w:val="clear" w:color="auto" w:fill="FFFFFF"/>
          <w:tblCellMar>
            <w:top w:w="0" w:type="dxa"/>
            <w:left w:w="0" w:type="dxa"/>
            <w:bottom w:w="0" w:type="dxa"/>
            <w:right w:w="0" w:type="dxa"/>
          </w:tblCellMar>
        </w:tblPrEx>
        <w:tc>
          <w:tcPr>
            <w:tcW w:w="86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社会实践、社会服务（特殊表彰）</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全国级先进个人、先进小分队成员</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省级先进个人、先进小分队成员</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校级先进个人、先进小分队成员</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院级先进个人、先进小分队成员</w:t>
            </w:r>
          </w:p>
        </w:tc>
      </w:tr>
      <w:tr>
        <w:tblPrEx>
          <w:tblCellMar>
            <w:top w:w="0" w:type="dxa"/>
            <w:left w:w="0" w:type="dxa"/>
            <w:bottom w:w="0" w:type="dxa"/>
            <w:right w:w="0" w:type="dxa"/>
          </w:tblCellMar>
        </w:tblPrEx>
        <w:tc>
          <w:tcPr>
            <w:tcW w:w="242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学校、学院、联合会组织的大型活动（如：入学导向、运动会、新年晚会等）参与。（请详填《评奖年度活动参与及公共服务表》及《奖学金申请表》）</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组织策划负责人</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模块负责人</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模块实施者</w:t>
            </w:r>
          </w:p>
        </w:tc>
        <w:tc>
          <w:tcPr>
            <w:tcW w:w="14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其它活动干事</w:t>
            </w:r>
          </w:p>
        </w:tc>
      </w:tr>
    </w:tbl>
    <w:p>
      <w:pPr>
        <w:widowControl/>
        <w:shd w:val="clear" w:color="auto" w:fill="FFFFFF"/>
        <w:spacing w:line="360" w:lineRule="auto"/>
        <w:ind w:firstLine="480" w:firstLineChars="200"/>
        <w:jc w:val="left"/>
        <w:rPr>
          <w:rFonts w:ascii="仿宋" w:hAnsi="仿宋" w:eastAsia="仿宋"/>
          <w:sz w:val="24"/>
        </w:rPr>
      </w:pPr>
      <w:r>
        <w:rPr>
          <w:rFonts w:hint="eastAsia" w:ascii="仿宋" w:hAnsi="仿宋" w:eastAsia="仿宋"/>
          <w:sz w:val="24"/>
        </w:rPr>
        <w:t>同一和同类奖项积分按最高分奖项计分，不重复计分（如联合会干部考核和班委干部考核同为优，只记联合会干部考核成绩）。表3中学生干部考核评分为任满一学年的分数，担任干部必须满一学期，不满一学年者按照一学期计算分数，该项总分减半。俱乐部和社团需在相关部门备案，并由指导单位给出考评证明。</w:t>
      </w:r>
    </w:p>
    <w:p>
      <w:pPr>
        <w:widowControl/>
        <w:shd w:val="clear" w:color="auto" w:fill="FFFFFF"/>
        <w:spacing w:line="360" w:lineRule="auto"/>
        <w:ind w:firstLine="440" w:firstLineChars="200"/>
        <w:jc w:val="center"/>
        <w:rPr>
          <w:rFonts w:ascii="仿宋" w:hAnsi="仿宋" w:eastAsia="仿宋"/>
          <w:sz w:val="22"/>
        </w:rPr>
      </w:pPr>
      <w:r>
        <w:rPr>
          <w:rFonts w:hint="eastAsia" w:ascii="仿宋" w:hAnsi="仿宋" w:eastAsia="仿宋"/>
          <w:sz w:val="22"/>
        </w:rPr>
        <w:t>表4</w:t>
      </w:r>
      <w:r>
        <w:rPr>
          <w:rFonts w:eastAsia="仿宋" w:cs="Calibri"/>
          <w:sz w:val="22"/>
        </w:rPr>
        <w:t xml:space="preserve">  </w:t>
      </w:r>
      <w:r>
        <w:rPr>
          <w:rFonts w:hint="eastAsia" w:ascii="仿宋" w:hAnsi="仿宋" w:eastAsia="仿宋"/>
          <w:sz w:val="22"/>
        </w:rPr>
        <w:t>二年级MBA硕士研究生学业奖学金发展性素质项目参考权重</w:t>
      </w:r>
    </w:p>
    <w:tbl>
      <w:tblPr>
        <w:tblStyle w:val="5"/>
        <w:tblW w:w="5000" w:type="pct"/>
        <w:tblInd w:w="0" w:type="dxa"/>
        <w:shd w:val="clear" w:color="auto" w:fill="FFFFFF"/>
        <w:tblLayout w:type="autofit"/>
        <w:tblCellMar>
          <w:top w:w="0" w:type="dxa"/>
          <w:left w:w="0" w:type="dxa"/>
          <w:bottom w:w="0" w:type="dxa"/>
          <w:right w:w="0" w:type="dxa"/>
        </w:tblCellMar>
      </w:tblPr>
      <w:tblGrid>
        <w:gridCol w:w="1177"/>
        <w:gridCol w:w="5299"/>
        <w:gridCol w:w="1850"/>
      </w:tblGrid>
      <w:tr>
        <w:tblPrEx>
          <w:tblCellMar>
            <w:top w:w="0" w:type="dxa"/>
            <w:left w:w="0" w:type="dxa"/>
            <w:bottom w:w="0" w:type="dxa"/>
            <w:right w:w="0" w:type="dxa"/>
          </w:tblCellMar>
        </w:tblPrEx>
        <w:tc>
          <w:tcPr>
            <w:tcW w:w="3889" w:type="pct"/>
            <w:gridSpan w:val="2"/>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b/>
                <w:color w:val="313131"/>
                <w:kern w:val="0"/>
                <w:szCs w:val="21"/>
              </w:rPr>
            </w:pPr>
            <w:r>
              <w:rPr>
                <w:rFonts w:hint="eastAsia" w:ascii="仿宋" w:hAnsi="仿宋" w:eastAsia="仿宋" w:cs="宋体"/>
                <w:b/>
                <w:color w:val="313131"/>
                <w:kern w:val="0"/>
                <w:szCs w:val="21"/>
              </w:rPr>
              <w:t>项目</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b/>
                <w:color w:val="313131"/>
                <w:kern w:val="0"/>
                <w:szCs w:val="21"/>
              </w:rPr>
            </w:pPr>
            <w:r>
              <w:rPr>
                <w:rFonts w:hint="eastAsia" w:ascii="仿宋" w:hAnsi="仿宋" w:eastAsia="仿宋" w:cs="宋体"/>
                <w:b/>
                <w:color w:val="313131"/>
                <w:kern w:val="0"/>
                <w:szCs w:val="21"/>
              </w:rPr>
              <w:t>权重（系数）</w:t>
            </w:r>
          </w:p>
        </w:tc>
      </w:tr>
      <w:tr>
        <w:tblPrEx>
          <w:shd w:val="clear" w:color="auto" w:fill="FFFFFF"/>
          <w:tblCellMar>
            <w:top w:w="0" w:type="dxa"/>
            <w:left w:w="0" w:type="dxa"/>
            <w:bottom w:w="0" w:type="dxa"/>
            <w:right w:w="0" w:type="dxa"/>
          </w:tblCellMar>
        </w:tblPrEx>
        <w:tc>
          <w:tcPr>
            <w:tcW w:w="707" w:type="pct"/>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科技学术论文</w:t>
            </w: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国家级刊物</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1.5</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部、省级刊物</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1.0</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市级、校院级刊物</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0.5</w:t>
            </w:r>
          </w:p>
        </w:tc>
      </w:tr>
      <w:tr>
        <w:tblPrEx>
          <w:shd w:val="clear" w:color="auto" w:fill="FFFFFF"/>
          <w:tblCellMar>
            <w:top w:w="0" w:type="dxa"/>
            <w:left w:w="0" w:type="dxa"/>
            <w:bottom w:w="0" w:type="dxa"/>
            <w:right w:w="0" w:type="dxa"/>
          </w:tblCellMar>
        </w:tblPrEx>
        <w:tc>
          <w:tcPr>
            <w:tcW w:w="3889" w:type="pct"/>
            <w:gridSpan w:val="2"/>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科技成果</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1.0</w:t>
            </w:r>
          </w:p>
        </w:tc>
      </w:tr>
      <w:tr>
        <w:tblPrEx>
          <w:tblCellMar>
            <w:top w:w="0" w:type="dxa"/>
            <w:left w:w="0" w:type="dxa"/>
            <w:bottom w:w="0" w:type="dxa"/>
            <w:right w:w="0" w:type="dxa"/>
          </w:tblCellMar>
        </w:tblPrEx>
        <w:tc>
          <w:tcPr>
            <w:tcW w:w="707" w:type="pct"/>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学科竞赛</w:t>
            </w: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国家级</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1.5</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省部级</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1.0</w:t>
            </w:r>
          </w:p>
        </w:tc>
      </w:tr>
      <w:tr>
        <w:tblPrEx>
          <w:shd w:val="clear" w:color="auto" w:fill="FFFFFF"/>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市级</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0.8</w:t>
            </w:r>
          </w:p>
        </w:tc>
      </w:tr>
      <w:tr>
        <w:tblPrEx>
          <w:shd w:val="clear" w:color="auto" w:fill="FFFFFF"/>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校级</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0.5</w:t>
            </w:r>
          </w:p>
        </w:tc>
      </w:tr>
      <w:tr>
        <w:tblPrEx>
          <w:tblCellMar>
            <w:top w:w="0" w:type="dxa"/>
            <w:left w:w="0" w:type="dxa"/>
            <w:bottom w:w="0" w:type="dxa"/>
            <w:right w:w="0" w:type="dxa"/>
          </w:tblCellMar>
        </w:tblPrEx>
        <w:tc>
          <w:tcPr>
            <w:tcW w:w="707" w:type="pct"/>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创新创业</w:t>
            </w: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董事长/总经理或70%及以上股份</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1.5</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中高层管理者（副总、总监）或50%及以上股份</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1.0</w:t>
            </w:r>
          </w:p>
        </w:tc>
      </w:tr>
      <w:tr>
        <w:tblPrEx>
          <w:shd w:val="clear" w:color="auto" w:fill="FFFFFF"/>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一般股东或30%及以上股份</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0.5</w:t>
            </w:r>
          </w:p>
        </w:tc>
      </w:tr>
      <w:tr>
        <w:tblPrEx>
          <w:shd w:val="clear" w:color="auto" w:fill="FFFFFF"/>
          <w:tblCellMar>
            <w:top w:w="0" w:type="dxa"/>
            <w:left w:w="0" w:type="dxa"/>
            <w:bottom w:w="0" w:type="dxa"/>
            <w:right w:w="0" w:type="dxa"/>
          </w:tblCellMar>
        </w:tblPrEx>
        <w:tc>
          <w:tcPr>
            <w:tcW w:w="707" w:type="pct"/>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干部考核</w:t>
            </w: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校学生会主席、MBA联合会主席、MBA西南联盟理事</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1.5</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校学生会副主席、MBA联合会副主席</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1.0</w:t>
            </w:r>
          </w:p>
        </w:tc>
      </w:tr>
      <w:tr>
        <w:tblPrEx>
          <w:shd w:val="clear" w:color="auto" w:fill="FFFFFF"/>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社团社长、MBA各类俱乐部负责人、MBA联合会部长、社团及俱乐部副社长、班长、党支部书记</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0.8</w:t>
            </w:r>
          </w:p>
        </w:tc>
      </w:tr>
      <w:tr>
        <w:tblPrEx>
          <w:shd w:val="clear" w:color="auto" w:fill="FFFFFF"/>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MBA联合会副部长、社团及俱乐部部长、班委、党支部支委</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0.5</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shd w:val="clear" w:color="auto" w:fill="FFFFFF"/>
              <w:spacing w:line="360" w:lineRule="auto"/>
              <w:jc w:val="left"/>
              <w:rPr>
                <w:rFonts w:ascii="仿宋" w:hAnsi="仿宋" w:eastAsia="仿宋" w:cs="宋体"/>
                <w:color w:val="313131"/>
                <w:kern w:val="0"/>
                <w:sz w:val="18"/>
                <w:szCs w:val="18"/>
              </w:rPr>
            </w:pPr>
          </w:p>
        </w:tc>
        <w:tc>
          <w:tcPr>
            <w:tcW w:w="3182"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联合会干事、社团及俱乐部干事</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0.3</w:t>
            </w:r>
          </w:p>
        </w:tc>
      </w:tr>
      <w:tr>
        <w:tblPrEx>
          <w:tblCellMar>
            <w:top w:w="0" w:type="dxa"/>
            <w:left w:w="0" w:type="dxa"/>
            <w:bottom w:w="0" w:type="dxa"/>
            <w:right w:w="0" w:type="dxa"/>
          </w:tblCellMar>
        </w:tblPrEx>
        <w:tc>
          <w:tcPr>
            <w:tcW w:w="3889" w:type="pct"/>
            <w:gridSpan w:val="2"/>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社会实践</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1.0</w:t>
            </w:r>
          </w:p>
        </w:tc>
      </w:tr>
      <w:tr>
        <w:tblPrEx>
          <w:tblCellMar>
            <w:top w:w="0" w:type="dxa"/>
            <w:left w:w="0" w:type="dxa"/>
            <w:bottom w:w="0" w:type="dxa"/>
            <w:right w:w="0" w:type="dxa"/>
          </w:tblCellMar>
        </w:tblPrEx>
        <w:tc>
          <w:tcPr>
            <w:tcW w:w="3889" w:type="pct"/>
            <w:gridSpan w:val="2"/>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特殊表彰</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1.0</w:t>
            </w:r>
          </w:p>
        </w:tc>
      </w:tr>
      <w:tr>
        <w:tblPrEx>
          <w:tblCellMar>
            <w:top w:w="0" w:type="dxa"/>
            <w:left w:w="0" w:type="dxa"/>
            <w:bottom w:w="0" w:type="dxa"/>
            <w:right w:w="0" w:type="dxa"/>
          </w:tblCellMar>
        </w:tblPrEx>
        <w:tc>
          <w:tcPr>
            <w:tcW w:w="3889" w:type="pct"/>
            <w:gridSpan w:val="2"/>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left"/>
              <w:rPr>
                <w:rFonts w:ascii="仿宋" w:hAnsi="仿宋" w:eastAsia="仿宋" w:cs="宋体"/>
                <w:color w:val="313131"/>
                <w:kern w:val="0"/>
                <w:sz w:val="18"/>
                <w:szCs w:val="18"/>
              </w:rPr>
            </w:pPr>
            <w:r>
              <w:rPr>
                <w:rFonts w:hint="eastAsia" w:ascii="仿宋" w:hAnsi="仿宋" w:eastAsia="仿宋" w:cs="宋体"/>
                <w:color w:val="313131"/>
                <w:kern w:val="0"/>
                <w:sz w:val="18"/>
                <w:szCs w:val="18"/>
              </w:rPr>
              <w:t>活动参与</w:t>
            </w:r>
          </w:p>
        </w:tc>
        <w:tc>
          <w:tcPr>
            <w:tcW w:w="1111" w:type="pct"/>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jc w:val="center"/>
              <w:rPr>
                <w:rFonts w:ascii="仿宋" w:hAnsi="仿宋" w:eastAsia="仿宋" w:cs="宋体"/>
                <w:color w:val="313131"/>
                <w:kern w:val="0"/>
                <w:sz w:val="18"/>
                <w:szCs w:val="18"/>
              </w:rPr>
            </w:pPr>
            <w:r>
              <w:rPr>
                <w:rFonts w:hint="eastAsia" w:ascii="仿宋" w:hAnsi="仿宋" w:eastAsia="仿宋" w:cs="宋体"/>
                <w:color w:val="313131"/>
                <w:kern w:val="0"/>
                <w:sz w:val="18"/>
                <w:szCs w:val="18"/>
              </w:rPr>
              <w:t>1.0</w:t>
            </w:r>
          </w:p>
        </w:tc>
      </w:tr>
    </w:tbl>
    <w:p>
      <w:pPr>
        <w:widowControl/>
        <w:shd w:val="clear" w:color="auto" w:fill="FFFFFF"/>
        <w:spacing w:line="360" w:lineRule="auto"/>
        <w:ind w:firstLine="240" w:firstLineChars="100"/>
        <w:jc w:val="left"/>
        <w:rPr>
          <w:rFonts w:ascii="仿宋" w:hAnsi="仿宋" w:eastAsia="仿宋"/>
          <w:sz w:val="24"/>
        </w:rPr>
      </w:pPr>
      <w:r>
        <w:rPr>
          <w:rFonts w:hint="eastAsia" w:ascii="仿宋" w:hAnsi="仿宋" w:eastAsia="仿宋"/>
          <w:sz w:val="24"/>
        </w:rPr>
        <w:t>（1）各发展性素质模块得分=∑（计分*权重）。</w:t>
      </w:r>
    </w:p>
    <w:p>
      <w:pPr>
        <w:widowControl/>
        <w:shd w:val="clear" w:color="auto" w:fill="FFFFFF"/>
        <w:spacing w:line="360" w:lineRule="auto"/>
        <w:ind w:firstLine="240" w:firstLineChars="100"/>
        <w:jc w:val="left"/>
        <w:rPr>
          <w:rFonts w:ascii="仿宋" w:hAnsi="仿宋" w:eastAsia="仿宋"/>
          <w:sz w:val="24"/>
        </w:rPr>
      </w:pPr>
      <w:r>
        <w:rPr>
          <w:rFonts w:hint="eastAsia" w:ascii="仿宋" w:hAnsi="仿宋" w:eastAsia="仿宋"/>
          <w:sz w:val="24"/>
        </w:rPr>
        <w:t>（2）学位课程学分加权平均分=</w:t>
      </w:r>
      <w:r>
        <w:rPr>
          <w:rFonts w:ascii="仿宋" w:hAnsi="仿宋" w:eastAsia="仿宋"/>
          <w:sz w:val="24"/>
        </w:rPr>
        <w:object>
          <v:shape id="_x0000_i1025" o:spt="75" type="#_x0000_t75" style="height:20.25pt;width:63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p>
    <w:p>
      <w:pPr>
        <w:ind w:firstLine="480" w:firstLineChars="200"/>
        <w:rPr>
          <w:rFonts w:ascii="仿宋" w:hAnsi="仿宋" w:eastAsia="仿宋"/>
          <w:sz w:val="24"/>
        </w:rPr>
      </w:pPr>
      <w:r>
        <w:rPr>
          <w:rFonts w:hint="eastAsia" w:ascii="仿宋" w:hAnsi="仿宋" w:eastAsia="仿宋"/>
          <w:sz w:val="24"/>
        </w:rPr>
        <w:t>其中：</w:t>
      </w:r>
    </w:p>
    <w:p>
      <w:pPr>
        <w:adjustRightInd w:val="0"/>
        <w:ind w:firstLine="960" w:firstLineChars="400"/>
        <w:rPr>
          <w:rFonts w:ascii="仿宋" w:hAnsi="仿宋" w:eastAsia="仿宋"/>
          <w:sz w:val="24"/>
        </w:rPr>
      </w:pPr>
      <w:r>
        <w:rPr>
          <w:rFonts w:hint="eastAsia" w:ascii="仿宋" w:hAnsi="仿宋" w:eastAsia="仿宋"/>
          <w:sz w:val="24"/>
        </w:rPr>
        <w:t>Ri=某学位课程学分数*实得分数（百分制）</w:t>
      </w:r>
    </w:p>
    <w:p>
      <w:pPr>
        <w:widowControl/>
        <w:shd w:val="clear" w:color="auto" w:fill="FFFFFF"/>
        <w:spacing w:line="360" w:lineRule="auto"/>
        <w:ind w:firstLine="960" w:firstLineChars="400"/>
        <w:jc w:val="left"/>
        <w:rPr>
          <w:rFonts w:ascii="仿宋" w:hAnsi="仿宋" w:eastAsia="仿宋"/>
          <w:sz w:val="24"/>
        </w:rPr>
      </w:pPr>
      <w:r>
        <w:rPr>
          <w:rFonts w:hint="eastAsia" w:ascii="仿宋" w:hAnsi="仿宋" w:eastAsia="仿宋"/>
          <w:sz w:val="24"/>
        </w:rPr>
        <w:t>Ai=该学位课程的学分数</w:t>
      </w:r>
    </w:p>
    <w:p>
      <w:pPr>
        <w:widowControl/>
        <w:shd w:val="clear" w:color="auto" w:fill="FFFFFF"/>
        <w:spacing w:line="360" w:lineRule="auto"/>
        <w:ind w:firstLine="240" w:firstLineChars="100"/>
        <w:jc w:val="left"/>
        <w:rPr>
          <w:rFonts w:ascii="仿宋" w:hAnsi="仿宋" w:eastAsia="仿宋"/>
          <w:sz w:val="24"/>
        </w:rPr>
      </w:pPr>
      <w:r>
        <w:rPr>
          <w:rFonts w:hint="eastAsia" w:ascii="仿宋" w:hAnsi="仿宋" w:eastAsia="仿宋"/>
          <w:sz w:val="24"/>
        </w:rPr>
        <w:t>（3）MBA学业奖学金评定的最终成绩计算方式如下：</w:t>
      </w:r>
    </w:p>
    <w:p>
      <w:pPr>
        <w:widowControl/>
        <w:shd w:val="clear" w:color="auto" w:fill="FFFFFF"/>
        <w:spacing w:line="360" w:lineRule="auto"/>
        <w:jc w:val="left"/>
        <w:rPr>
          <w:rFonts w:ascii="仿宋" w:hAnsi="仿宋" w:eastAsia="仿宋"/>
          <w:sz w:val="24"/>
        </w:rPr>
      </w:pPr>
      <w:r>
        <w:rPr>
          <w:rFonts w:hint="eastAsia" w:ascii="仿宋" w:hAnsi="仿宋" w:eastAsia="仿宋"/>
          <w:sz w:val="24"/>
        </w:rPr>
        <w:t>最终成绩总分=学位课程学分加权平均分*70%+科研成绩素质模块得分*5%+学科竞赛素质模块得分*10%+创新创业素质模块得分*5%+公共服务素质模块得分*10%。</w:t>
      </w:r>
    </w:p>
    <w:p>
      <w:pPr>
        <w:widowControl/>
        <w:shd w:val="clear" w:color="auto" w:fill="FFFFFF"/>
        <w:spacing w:line="360" w:lineRule="auto"/>
        <w:jc w:val="left"/>
        <w:rPr>
          <w:rFonts w:ascii="仿宋" w:hAnsi="仿宋" w:eastAsia="仿宋"/>
          <w:color w:val="FF0000"/>
          <w:sz w:val="24"/>
        </w:rPr>
      </w:pPr>
      <w:r>
        <w:rPr>
          <w:rFonts w:ascii="仿宋" w:hAnsi="仿宋" w:eastAsia="仿宋"/>
          <w:sz w:val="24"/>
        </w:rPr>
        <w:t xml:space="preserve">  （4）</w:t>
      </w:r>
      <w:r>
        <w:rPr>
          <w:rFonts w:hint="eastAsia" w:ascii="仿宋" w:hAnsi="仿宋" w:eastAsia="仿宋"/>
          <w:sz w:val="24"/>
        </w:rPr>
        <w:t>若出现最终成绩相同的情况，以学位课程学分加权平均分高者排序为先。</w:t>
      </w:r>
    </w:p>
    <w:p>
      <w:pPr>
        <w:spacing w:before="156" w:beforeLines="50" w:after="156" w:afterLines="50"/>
        <w:rPr>
          <w:rFonts w:ascii="仿宋" w:hAnsi="仿宋" w:eastAsia="仿宋"/>
          <w:b/>
          <w:sz w:val="24"/>
        </w:rPr>
      </w:pPr>
      <w:r>
        <w:rPr>
          <w:rFonts w:hint="eastAsia" w:ascii="仿宋" w:hAnsi="仿宋" w:eastAsia="仿宋"/>
          <w:b/>
          <w:sz w:val="24"/>
        </w:rPr>
        <w:t>三、M</w:t>
      </w:r>
      <w:r>
        <w:rPr>
          <w:rFonts w:ascii="仿宋" w:hAnsi="仿宋" w:eastAsia="仿宋"/>
          <w:b/>
          <w:sz w:val="24"/>
        </w:rPr>
        <w:t>BA</w:t>
      </w:r>
      <w:r>
        <w:rPr>
          <w:rFonts w:hint="eastAsia" w:ascii="仿宋" w:hAnsi="仿宋" w:eastAsia="仿宋"/>
          <w:b/>
          <w:sz w:val="24"/>
        </w:rPr>
        <w:t>学业奖学金评选流程</w:t>
      </w:r>
    </w:p>
    <w:p>
      <w:pPr>
        <w:ind w:firstLine="480" w:firstLineChars="200"/>
        <w:rPr>
          <w:rFonts w:ascii="仿宋" w:hAnsi="仿宋" w:eastAsia="仿宋"/>
          <w:sz w:val="24"/>
        </w:rPr>
      </w:pPr>
      <w:r>
        <w:rPr>
          <w:rFonts w:hint="eastAsia" w:ascii="仿宋" w:hAnsi="仿宋" w:eastAsia="仿宋"/>
          <w:sz w:val="24"/>
        </w:rPr>
        <w:t>1、学院发布评奖通知并启动学业奖学金评定工作。</w:t>
      </w:r>
    </w:p>
    <w:p>
      <w:pPr>
        <w:ind w:firstLine="480" w:firstLineChars="200"/>
        <w:rPr>
          <w:rFonts w:ascii="仿宋" w:hAnsi="仿宋" w:eastAsia="仿宋"/>
          <w:sz w:val="24"/>
        </w:rPr>
      </w:pPr>
      <w:r>
        <w:rPr>
          <w:rFonts w:hint="eastAsia" w:ascii="仿宋" w:hAnsi="仿宋" w:eastAsia="仿宋"/>
          <w:sz w:val="24"/>
        </w:rPr>
        <w:t>2、申请人递交申请材料：填写《电子科技大学研究生学业奖学金申请表》（详附表），并向评定单位提交申请表，提供符合要求的证明材料和汇总表（电子版和书面版同时提供），签署《诚信承诺书》（详附件）。</w:t>
      </w:r>
    </w:p>
    <w:p>
      <w:pPr>
        <w:ind w:left="240" w:firstLine="240" w:firstLineChars="100"/>
        <w:rPr>
          <w:rFonts w:ascii="仿宋" w:hAnsi="仿宋" w:eastAsia="仿宋"/>
          <w:sz w:val="24"/>
        </w:rPr>
      </w:pPr>
      <w:r>
        <w:rPr>
          <w:rFonts w:hint="eastAsia" w:ascii="仿宋" w:hAnsi="仿宋" w:eastAsia="仿宋"/>
          <w:sz w:val="24"/>
        </w:rPr>
        <w:t>3、学院研究生奖学金评审委员会计算并公示研二学生的学位课程学分加权平均分。</w:t>
      </w:r>
    </w:p>
    <w:p>
      <w:pPr>
        <w:ind w:left="240" w:firstLine="240" w:firstLineChars="100"/>
        <w:rPr>
          <w:rFonts w:ascii="仿宋" w:hAnsi="仿宋" w:eastAsia="仿宋"/>
          <w:sz w:val="24"/>
        </w:rPr>
      </w:pPr>
      <w:r>
        <w:rPr>
          <w:rFonts w:hint="eastAsia" w:ascii="仿宋" w:hAnsi="仿宋" w:eastAsia="仿宋"/>
          <w:sz w:val="24"/>
        </w:rPr>
        <w:t>4、学院研究生奖学金评审委员会依据学校、学院相关文件要求对申请人进行资格审查。</w:t>
      </w:r>
    </w:p>
    <w:p>
      <w:pPr>
        <w:ind w:firstLine="480" w:firstLineChars="200"/>
        <w:rPr>
          <w:rFonts w:ascii="仿宋" w:hAnsi="仿宋" w:eastAsia="仿宋"/>
          <w:sz w:val="24"/>
        </w:rPr>
      </w:pPr>
      <w:r>
        <w:rPr>
          <w:rFonts w:hint="eastAsia" w:ascii="仿宋" w:hAnsi="仿宋" w:eastAsia="仿宋"/>
          <w:sz w:val="24"/>
        </w:rPr>
        <w:t>5、学院研究生奖学金评审委员会进行数据整理，汇总论文发表、竞赛获奖、创新创业和公共服务等方面的证明材料等，并进行评审。</w:t>
      </w:r>
    </w:p>
    <w:p>
      <w:pPr>
        <w:ind w:left="240" w:firstLine="240" w:firstLineChars="100"/>
        <w:rPr>
          <w:rFonts w:ascii="仿宋" w:hAnsi="仿宋" w:eastAsia="仿宋"/>
          <w:sz w:val="24"/>
        </w:rPr>
      </w:pPr>
      <w:r>
        <w:rPr>
          <w:rFonts w:hint="eastAsia" w:ascii="仿宋" w:hAnsi="仿宋" w:eastAsia="仿宋"/>
          <w:sz w:val="24"/>
        </w:rPr>
        <w:t>6、学院研究生奖学金评审委员会将M</w:t>
      </w:r>
      <w:r>
        <w:rPr>
          <w:rFonts w:ascii="仿宋" w:hAnsi="仿宋" w:eastAsia="仿宋"/>
          <w:sz w:val="24"/>
        </w:rPr>
        <w:t>BA</w:t>
      </w:r>
      <w:r>
        <w:rPr>
          <w:rFonts w:hint="eastAsia" w:ascii="仿宋" w:hAnsi="仿宋" w:eastAsia="仿宋"/>
          <w:sz w:val="24"/>
        </w:rPr>
        <w:t>学业奖学金评定结果进行公示。</w:t>
      </w:r>
    </w:p>
    <w:p>
      <w:pPr>
        <w:ind w:firstLine="480" w:firstLineChars="200"/>
        <w:rPr>
          <w:rFonts w:ascii="仿宋" w:hAnsi="仿宋" w:eastAsia="仿宋"/>
          <w:sz w:val="24"/>
        </w:rPr>
      </w:pPr>
      <w:r>
        <w:rPr>
          <w:rFonts w:hint="eastAsia" w:ascii="仿宋" w:hAnsi="仿宋" w:eastAsia="仿宋"/>
          <w:sz w:val="24"/>
        </w:rPr>
        <w:t>7、学生如对奖学金评定结果有异议，可在学院公示期内向学院研究生奖学金评审委员会提出书面申诉，并提供事实材料，评审委员会将及时研究并予以答复。</w:t>
      </w:r>
    </w:p>
    <w:p>
      <w:pPr>
        <w:ind w:firstLine="480" w:firstLineChars="200"/>
        <w:rPr>
          <w:rFonts w:ascii="仿宋" w:hAnsi="仿宋" w:eastAsia="仿宋"/>
          <w:sz w:val="24"/>
        </w:rPr>
      </w:pPr>
      <w:r>
        <w:rPr>
          <w:rFonts w:hint="eastAsia" w:ascii="仿宋" w:hAnsi="仿宋" w:eastAsia="仿宋"/>
          <w:sz w:val="24"/>
        </w:rPr>
        <w:t>8、学院汇总材料和评定结果并上报至研究生院。</w:t>
      </w:r>
    </w:p>
    <w:p>
      <w:pPr>
        <w:spacing w:before="156" w:beforeLines="50" w:after="156" w:afterLines="50"/>
        <w:rPr>
          <w:rFonts w:ascii="仿宋" w:hAnsi="仿宋" w:eastAsia="仿宋"/>
          <w:b/>
          <w:sz w:val="24"/>
        </w:rPr>
      </w:pPr>
      <w:r>
        <w:rPr>
          <w:rFonts w:hint="eastAsia" w:ascii="仿宋" w:hAnsi="仿宋" w:eastAsia="仿宋"/>
          <w:b/>
          <w:sz w:val="24"/>
        </w:rPr>
        <w:t>四、申请者要提交的书面证明材料</w:t>
      </w:r>
    </w:p>
    <w:p>
      <w:pPr>
        <w:ind w:firstLine="480" w:firstLineChars="200"/>
        <w:rPr>
          <w:rFonts w:ascii="仿宋" w:hAnsi="仿宋" w:eastAsia="仿宋"/>
          <w:sz w:val="24"/>
        </w:rPr>
      </w:pPr>
      <w:r>
        <w:rPr>
          <w:rFonts w:hint="eastAsia" w:ascii="仿宋" w:hAnsi="仿宋" w:eastAsia="仿宋"/>
          <w:sz w:val="24"/>
        </w:rPr>
        <w:t>1、学院每年9月组织一次学生公共服务和获奖等情况的登记，二年级的M</w:t>
      </w:r>
      <w:r>
        <w:rPr>
          <w:rFonts w:ascii="仿宋" w:hAnsi="仿宋" w:eastAsia="仿宋"/>
          <w:sz w:val="24"/>
        </w:rPr>
        <w:t>BA</w:t>
      </w:r>
      <w:r>
        <w:rPr>
          <w:rFonts w:hint="eastAsia" w:ascii="仿宋" w:hAnsi="仿宋" w:eastAsia="仿宋"/>
          <w:sz w:val="24"/>
        </w:rPr>
        <w:t>学生直接到评定单位进行登记；登记时提供评奖年度的证明材料。</w:t>
      </w:r>
    </w:p>
    <w:p>
      <w:pPr>
        <w:ind w:firstLine="480" w:firstLineChars="200"/>
        <w:rPr>
          <w:rFonts w:ascii="仿宋" w:hAnsi="仿宋" w:eastAsia="仿宋"/>
          <w:sz w:val="24"/>
        </w:rPr>
      </w:pPr>
      <w:r>
        <w:rPr>
          <w:rFonts w:hint="eastAsia" w:ascii="仿宋" w:hAnsi="仿宋" w:eastAsia="仿宋"/>
          <w:sz w:val="24"/>
        </w:rPr>
        <w:t>2、获奖证明材料：</w:t>
      </w:r>
    </w:p>
    <w:p>
      <w:pPr>
        <w:ind w:firstLine="480" w:firstLineChars="200"/>
        <w:rPr>
          <w:rFonts w:ascii="仿宋" w:hAnsi="仿宋" w:eastAsia="仿宋"/>
          <w:sz w:val="24"/>
        </w:rPr>
      </w:pPr>
      <w:r>
        <w:rPr>
          <w:rFonts w:hint="eastAsia" w:ascii="仿宋" w:hAnsi="仿宋" w:eastAsia="仿宋"/>
          <w:sz w:val="24"/>
        </w:rPr>
        <w:t>（1）申请者需提供获奖以及创新创业相关证书原件、复印件，原件供审核。</w:t>
      </w:r>
    </w:p>
    <w:p>
      <w:pPr>
        <w:ind w:firstLine="480" w:firstLineChars="200"/>
        <w:rPr>
          <w:rFonts w:ascii="仿宋" w:hAnsi="仿宋" w:eastAsia="仿宋"/>
          <w:sz w:val="24"/>
        </w:rPr>
      </w:pPr>
      <w:r>
        <w:rPr>
          <w:rFonts w:hint="eastAsia" w:ascii="仿宋" w:hAnsi="仿宋" w:eastAsia="仿宋"/>
          <w:sz w:val="24"/>
        </w:rPr>
        <w:t>（2）团体获奖有效的奖励排名情况证明，对获奖级别的划分等。</w:t>
      </w:r>
    </w:p>
    <w:p>
      <w:pPr>
        <w:ind w:firstLine="480" w:firstLineChars="200"/>
        <w:rPr>
          <w:rFonts w:ascii="仿宋" w:hAnsi="仿宋" w:eastAsia="仿宋"/>
          <w:sz w:val="24"/>
        </w:rPr>
      </w:pPr>
      <w:r>
        <w:rPr>
          <w:rFonts w:hint="eastAsia" w:ascii="仿宋" w:hAnsi="仿宋" w:eastAsia="仿宋"/>
          <w:sz w:val="24"/>
        </w:rPr>
        <w:t>3、其他相关公共服务证明等。</w:t>
      </w:r>
    </w:p>
    <w:p>
      <w:pPr>
        <w:spacing w:before="156" w:beforeLines="50" w:after="156" w:afterLines="50"/>
        <w:rPr>
          <w:rFonts w:ascii="仿宋" w:hAnsi="仿宋" w:eastAsia="仿宋"/>
          <w:b/>
          <w:sz w:val="24"/>
        </w:rPr>
      </w:pPr>
      <w:r>
        <w:rPr>
          <w:rFonts w:hint="eastAsia" w:ascii="仿宋" w:hAnsi="仿宋" w:eastAsia="仿宋"/>
          <w:b/>
          <w:sz w:val="24"/>
        </w:rPr>
        <w:t>五、附则</w:t>
      </w:r>
    </w:p>
    <w:p>
      <w:pPr>
        <w:ind w:firstLine="480" w:firstLineChars="200"/>
        <w:rPr>
          <w:rFonts w:ascii="仿宋" w:hAnsi="仿宋" w:eastAsia="仿宋"/>
          <w:sz w:val="24"/>
        </w:rPr>
      </w:pPr>
      <w:r>
        <w:rPr>
          <w:rFonts w:hint="eastAsia" w:ascii="仿宋" w:hAnsi="仿宋" w:eastAsia="仿宋"/>
          <w:sz w:val="24"/>
        </w:rPr>
        <w:t>1、本办法未涉及的内容参考学校和学院相关管理办法执行。</w:t>
      </w:r>
    </w:p>
    <w:p>
      <w:pPr>
        <w:ind w:firstLine="480" w:firstLineChars="200"/>
        <w:rPr>
          <w:rFonts w:ascii="仿宋" w:hAnsi="仿宋" w:eastAsia="仿宋"/>
          <w:sz w:val="24"/>
        </w:rPr>
      </w:pPr>
      <w:r>
        <w:rPr>
          <w:rFonts w:hint="eastAsia" w:ascii="仿宋" w:hAnsi="仿宋" w:eastAsia="仿宋"/>
          <w:sz w:val="24"/>
        </w:rPr>
        <w:t>2、本办法由学院研究生奖学金评审委员会负责解释。</w:t>
      </w:r>
    </w:p>
    <w:p>
      <w:pPr>
        <w:ind w:left="240"/>
        <w:rPr>
          <w:rFonts w:ascii="仿宋" w:hAnsi="仿宋" w:eastAsia="仿宋"/>
          <w:b/>
          <w:sz w:val="24"/>
        </w:rPr>
      </w:pPr>
    </w:p>
    <w:p>
      <w:pPr>
        <w:ind w:left="240"/>
        <w:rPr>
          <w:rFonts w:ascii="仿宋" w:hAnsi="仿宋" w:eastAsia="仿宋"/>
          <w:b/>
          <w:sz w:val="24"/>
        </w:rPr>
      </w:pPr>
    </w:p>
    <w:p>
      <w:pPr>
        <w:ind w:left="240"/>
        <w:rPr>
          <w:rFonts w:ascii="仿宋" w:hAnsi="仿宋" w:eastAsia="仿宋"/>
          <w:b/>
          <w:sz w:val="24"/>
        </w:rPr>
      </w:pPr>
      <w:r>
        <w:rPr>
          <w:rFonts w:ascii="仿宋" w:hAnsi="仿宋" w:eastAsia="仿宋"/>
          <w:b/>
          <w:sz w:val="24"/>
        </w:rPr>
        <w:t xml:space="preserve">                                               </w:t>
      </w:r>
      <w:r>
        <w:rPr>
          <w:rFonts w:hint="eastAsia" w:ascii="仿宋" w:hAnsi="仿宋" w:eastAsia="仿宋"/>
          <w:b/>
          <w:sz w:val="24"/>
        </w:rPr>
        <w:t>经济与管</w:t>
      </w:r>
      <w:bookmarkStart w:id="0" w:name="_GoBack"/>
      <w:bookmarkEnd w:id="0"/>
      <w:r>
        <w:rPr>
          <w:rFonts w:hint="eastAsia" w:ascii="仿宋" w:hAnsi="仿宋" w:eastAsia="仿宋"/>
          <w:b/>
          <w:sz w:val="24"/>
        </w:rPr>
        <w:t>理学院</w:t>
      </w:r>
    </w:p>
    <w:p>
      <w:pPr>
        <w:ind w:left="240"/>
        <w:rPr>
          <w:rFonts w:ascii="仿宋" w:hAnsi="仿宋" w:eastAsia="仿宋"/>
          <w:b/>
          <w:sz w:val="24"/>
        </w:rPr>
      </w:pPr>
      <w:r>
        <w:rPr>
          <w:rFonts w:hint="eastAsia" w:ascii="仿宋" w:hAnsi="仿宋" w:eastAsia="仿宋"/>
          <w:b/>
          <w:sz w:val="24"/>
        </w:rPr>
        <w:t xml:space="preserve"> </w:t>
      </w:r>
      <w:r>
        <w:rPr>
          <w:rFonts w:ascii="仿宋" w:hAnsi="仿宋" w:eastAsia="仿宋"/>
          <w:b/>
          <w:sz w:val="24"/>
        </w:rPr>
        <w:t xml:space="preserve">                                              </w:t>
      </w:r>
      <w:r>
        <w:rPr>
          <w:rFonts w:hint="eastAsia" w:ascii="仿宋" w:hAnsi="仿宋" w:eastAsia="仿宋"/>
          <w:b/>
          <w:sz w:val="24"/>
          <w:lang w:val="en-US" w:eastAsia="zh-CN"/>
        </w:rPr>
        <w:t xml:space="preserve">     </w:t>
      </w:r>
      <w:r>
        <w:rPr>
          <w:rFonts w:ascii="仿宋" w:hAnsi="仿宋" w:eastAsia="仿宋"/>
          <w:b/>
          <w:sz w:val="24"/>
        </w:rPr>
        <w:t>2019</w:t>
      </w:r>
      <w:r>
        <w:rPr>
          <w:rFonts w:hint="eastAsia" w:ascii="仿宋" w:hAnsi="仿宋" w:eastAsia="仿宋"/>
          <w:b/>
          <w:sz w:val="24"/>
        </w:rPr>
        <w:t>年12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14"/>
    <w:rsid w:val="00001BD1"/>
    <w:rsid w:val="000209FC"/>
    <w:rsid w:val="00021497"/>
    <w:rsid w:val="000320DB"/>
    <w:rsid w:val="00032C2B"/>
    <w:rsid w:val="00042C27"/>
    <w:rsid w:val="00043605"/>
    <w:rsid w:val="00043E88"/>
    <w:rsid w:val="00047BDF"/>
    <w:rsid w:val="00050C69"/>
    <w:rsid w:val="00052FFD"/>
    <w:rsid w:val="00057CC6"/>
    <w:rsid w:val="0006069F"/>
    <w:rsid w:val="00062B51"/>
    <w:rsid w:val="00065774"/>
    <w:rsid w:val="00071A84"/>
    <w:rsid w:val="0007442B"/>
    <w:rsid w:val="000808CF"/>
    <w:rsid w:val="000A6E4C"/>
    <w:rsid w:val="000B10DA"/>
    <w:rsid w:val="000C7D0D"/>
    <w:rsid w:val="00103C9E"/>
    <w:rsid w:val="0010596E"/>
    <w:rsid w:val="00112D86"/>
    <w:rsid w:val="0012017A"/>
    <w:rsid w:val="0013575A"/>
    <w:rsid w:val="00136134"/>
    <w:rsid w:val="001421A8"/>
    <w:rsid w:val="0014510F"/>
    <w:rsid w:val="00152EE7"/>
    <w:rsid w:val="0015364C"/>
    <w:rsid w:val="001553BD"/>
    <w:rsid w:val="00157175"/>
    <w:rsid w:val="001773E3"/>
    <w:rsid w:val="00183302"/>
    <w:rsid w:val="00184017"/>
    <w:rsid w:val="001907C0"/>
    <w:rsid w:val="00193114"/>
    <w:rsid w:val="0019632E"/>
    <w:rsid w:val="001B174E"/>
    <w:rsid w:val="001C24D7"/>
    <w:rsid w:val="001C5C12"/>
    <w:rsid w:val="001D3C1B"/>
    <w:rsid w:val="001D6EBC"/>
    <w:rsid w:val="001F2075"/>
    <w:rsid w:val="001F681A"/>
    <w:rsid w:val="00206F2A"/>
    <w:rsid w:val="00215648"/>
    <w:rsid w:val="00226F3E"/>
    <w:rsid w:val="002378F9"/>
    <w:rsid w:val="00237EA1"/>
    <w:rsid w:val="00240C67"/>
    <w:rsid w:val="002438E0"/>
    <w:rsid w:val="00243CB6"/>
    <w:rsid w:val="0025205C"/>
    <w:rsid w:val="00252576"/>
    <w:rsid w:val="00273BAB"/>
    <w:rsid w:val="00276120"/>
    <w:rsid w:val="00283995"/>
    <w:rsid w:val="00287DAA"/>
    <w:rsid w:val="00287F35"/>
    <w:rsid w:val="00296CAC"/>
    <w:rsid w:val="002C0E31"/>
    <w:rsid w:val="002C1E6F"/>
    <w:rsid w:val="002C7952"/>
    <w:rsid w:val="002D2F63"/>
    <w:rsid w:val="002E110D"/>
    <w:rsid w:val="002E292C"/>
    <w:rsid w:val="002F1577"/>
    <w:rsid w:val="002F2E14"/>
    <w:rsid w:val="002F794B"/>
    <w:rsid w:val="00315FA0"/>
    <w:rsid w:val="0031701B"/>
    <w:rsid w:val="00350D7C"/>
    <w:rsid w:val="0035702E"/>
    <w:rsid w:val="003600FF"/>
    <w:rsid w:val="00365567"/>
    <w:rsid w:val="00365F0A"/>
    <w:rsid w:val="00367B09"/>
    <w:rsid w:val="00380116"/>
    <w:rsid w:val="00384EC1"/>
    <w:rsid w:val="003857C0"/>
    <w:rsid w:val="00394EA3"/>
    <w:rsid w:val="003976F8"/>
    <w:rsid w:val="003A1F8B"/>
    <w:rsid w:val="003A6D7C"/>
    <w:rsid w:val="003B211F"/>
    <w:rsid w:val="003B5822"/>
    <w:rsid w:val="003C24F9"/>
    <w:rsid w:val="003C5833"/>
    <w:rsid w:val="003D40D1"/>
    <w:rsid w:val="003D71D6"/>
    <w:rsid w:val="003E40E3"/>
    <w:rsid w:val="003F0238"/>
    <w:rsid w:val="003F72F0"/>
    <w:rsid w:val="00402B05"/>
    <w:rsid w:val="00405702"/>
    <w:rsid w:val="00406FFF"/>
    <w:rsid w:val="004077B9"/>
    <w:rsid w:val="00407B0E"/>
    <w:rsid w:val="00415C00"/>
    <w:rsid w:val="0042723B"/>
    <w:rsid w:val="00427FEC"/>
    <w:rsid w:val="00430B56"/>
    <w:rsid w:val="00436156"/>
    <w:rsid w:val="00441CFF"/>
    <w:rsid w:val="0044324C"/>
    <w:rsid w:val="00443D01"/>
    <w:rsid w:val="00450A64"/>
    <w:rsid w:val="00452327"/>
    <w:rsid w:val="00455AC6"/>
    <w:rsid w:val="00456D83"/>
    <w:rsid w:val="00457049"/>
    <w:rsid w:val="004706AE"/>
    <w:rsid w:val="00473D0D"/>
    <w:rsid w:val="004765D0"/>
    <w:rsid w:val="004866E4"/>
    <w:rsid w:val="004A2110"/>
    <w:rsid w:val="004B5E07"/>
    <w:rsid w:val="004C6B5B"/>
    <w:rsid w:val="004E015E"/>
    <w:rsid w:val="004F02FE"/>
    <w:rsid w:val="004F3E28"/>
    <w:rsid w:val="005007CF"/>
    <w:rsid w:val="005056B0"/>
    <w:rsid w:val="005144A5"/>
    <w:rsid w:val="005149ED"/>
    <w:rsid w:val="00526D77"/>
    <w:rsid w:val="00531829"/>
    <w:rsid w:val="00531BEA"/>
    <w:rsid w:val="005504C3"/>
    <w:rsid w:val="00555560"/>
    <w:rsid w:val="00564586"/>
    <w:rsid w:val="00572876"/>
    <w:rsid w:val="00576679"/>
    <w:rsid w:val="00577BE2"/>
    <w:rsid w:val="005804CE"/>
    <w:rsid w:val="005805F1"/>
    <w:rsid w:val="005A60DA"/>
    <w:rsid w:val="005B0940"/>
    <w:rsid w:val="005B508B"/>
    <w:rsid w:val="005C1259"/>
    <w:rsid w:val="005D648D"/>
    <w:rsid w:val="005D7584"/>
    <w:rsid w:val="005F1749"/>
    <w:rsid w:val="006063BF"/>
    <w:rsid w:val="00607017"/>
    <w:rsid w:val="00614491"/>
    <w:rsid w:val="00643154"/>
    <w:rsid w:val="006615E3"/>
    <w:rsid w:val="0066230D"/>
    <w:rsid w:val="00667F93"/>
    <w:rsid w:val="00670555"/>
    <w:rsid w:val="00670E90"/>
    <w:rsid w:val="0067159F"/>
    <w:rsid w:val="00676725"/>
    <w:rsid w:val="00686FEC"/>
    <w:rsid w:val="00693733"/>
    <w:rsid w:val="00693885"/>
    <w:rsid w:val="00696546"/>
    <w:rsid w:val="006A1389"/>
    <w:rsid w:val="006A4DB2"/>
    <w:rsid w:val="006B3E1E"/>
    <w:rsid w:val="006B751B"/>
    <w:rsid w:val="006C0B5C"/>
    <w:rsid w:val="006C6ABF"/>
    <w:rsid w:val="006C6D10"/>
    <w:rsid w:val="006D6A7C"/>
    <w:rsid w:val="006E0EF9"/>
    <w:rsid w:val="006E3954"/>
    <w:rsid w:val="006E4D4F"/>
    <w:rsid w:val="006F6DF2"/>
    <w:rsid w:val="006F784C"/>
    <w:rsid w:val="00704E9D"/>
    <w:rsid w:val="007054D2"/>
    <w:rsid w:val="00705A56"/>
    <w:rsid w:val="00713CF5"/>
    <w:rsid w:val="00717BAA"/>
    <w:rsid w:val="00726626"/>
    <w:rsid w:val="00734F6F"/>
    <w:rsid w:val="0073678E"/>
    <w:rsid w:val="00755EC7"/>
    <w:rsid w:val="0075687C"/>
    <w:rsid w:val="007634B7"/>
    <w:rsid w:val="00791309"/>
    <w:rsid w:val="007A69DA"/>
    <w:rsid w:val="007B465E"/>
    <w:rsid w:val="007C1567"/>
    <w:rsid w:val="0080184F"/>
    <w:rsid w:val="008055B3"/>
    <w:rsid w:val="00821F3F"/>
    <w:rsid w:val="00831C99"/>
    <w:rsid w:val="00836A8E"/>
    <w:rsid w:val="008418C0"/>
    <w:rsid w:val="00845085"/>
    <w:rsid w:val="00845DC0"/>
    <w:rsid w:val="008610CE"/>
    <w:rsid w:val="008629FB"/>
    <w:rsid w:val="00864CF5"/>
    <w:rsid w:val="008758BF"/>
    <w:rsid w:val="00882C5E"/>
    <w:rsid w:val="00891CB6"/>
    <w:rsid w:val="00893208"/>
    <w:rsid w:val="008A4D16"/>
    <w:rsid w:val="008A6B0F"/>
    <w:rsid w:val="008A75E6"/>
    <w:rsid w:val="008B0383"/>
    <w:rsid w:val="008B74C0"/>
    <w:rsid w:val="008C4F6D"/>
    <w:rsid w:val="008C6FB3"/>
    <w:rsid w:val="008D46C9"/>
    <w:rsid w:val="008E615E"/>
    <w:rsid w:val="008F10EF"/>
    <w:rsid w:val="008F7256"/>
    <w:rsid w:val="00912047"/>
    <w:rsid w:val="009400EE"/>
    <w:rsid w:val="009417DD"/>
    <w:rsid w:val="0094479C"/>
    <w:rsid w:val="00947D4A"/>
    <w:rsid w:val="00950A5A"/>
    <w:rsid w:val="009558F6"/>
    <w:rsid w:val="00961409"/>
    <w:rsid w:val="009620C1"/>
    <w:rsid w:val="00962782"/>
    <w:rsid w:val="00977AD5"/>
    <w:rsid w:val="00990693"/>
    <w:rsid w:val="00997950"/>
    <w:rsid w:val="009A1702"/>
    <w:rsid w:val="009A4156"/>
    <w:rsid w:val="009A5C1A"/>
    <w:rsid w:val="009B39E8"/>
    <w:rsid w:val="009B58FD"/>
    <w:rsid w:val="009C40CB"/>
    <w:rsid w:val="009D41A3"/>
    <w:rsid w:val="009D43F3"/>
    <w:rsid w:val="009D4553"/>
    <w:rsid w:val="009D63A0"/>
    <w:rsid w:val="009E1BB2"/>
    <w:rsid w:val="009E3A9B"/>
    <w:rsid w:val="009F0814"/>
    <w:rsid w:val="00A14C7C"/>
    <w:rsid w:val="00A249B3"/>
    <w:rsid w:val="00A24EF0"/>
    <w:rsid w:val="00A266C2"/>
    <w:rsid w:val="00A30E85"/>
    <w:rsid w:val="00A31E97"/>
    <w:rsid w:val="00A3458E"/>
    <w:rsid w:val="00A35A7F"/>
    <w:rsid w:val="00A50FDA"/>
    <w:rsid w:val="00A66471"/>
    <w:rsid w:val="00A91DA3"/>
    <w:rsid w:val="00A9672F"/>
    <w:rsid w:val="00A975C4"/>
    <w:rsid w:val="00AA1BFA"/>
    <w:rsid w:val="00AA6E5A"/>
    <w:rsid w:val="00AB54D9"/>
    <w:rsid w:val="00AB78DC"/>
    <w:rsid w:val="00AC05AE"/>
    <w:rsid w:val="00AC66CF"/>
    <w:rsid w:val="00AD6103"/>
    <w:rsid w:val="00AE7B42"/>
    <w:rsid w:val="00B062C6"/>
    <w:rsid w:val="00B25409"/>
    <w:rsid w:val="00B30F2E"/>
    <w:rsid w:val="00B4392F"/>
    <w:rsid w:val="00B43BE3"/>
    <w:rsid w:val="00B51674"/>
    <w:rsid w:val="00B554ED"/>
    <w:rsid w:val="00B61AE9"/>
    <w:rsid w:val="00B6217A"/>
    <w:rsid w:val="00B63173"/>
    <w:rsid w:val="00B6575C"/>
    <w:rsid w:val="00B81A6C"/>
    <w:rsid w:val="00B8577C"/>
    <w:rsid w:val="00B90BED"/>
    <w:rsid w:val="00B92228"/>
    <w:rsid w:val="00B9440E"/>
    <w:rsid w:val="00BB2B85"/>
    <w:rsid w:val="00BC3FBB"/>
    <w:rsid w:val="00BC7AB0"/>
    <w:rsid w:val="00BD0449"/>
    <w:rsid w:val="00BD2DA3"/>
    <w:rsid w:val="00BD2E04"/>
    <w:rsid w:val="00BE14B4"/>
    <w:rsid w:val="00BE42C5"/>
    <w:rsid w:val="00BE575D"/>
    <w:rsid w:val="00BF4221"/>
    <w:rsid w:val="00BF4D26"/>
    <w:rsid w:val="00BF6A52"/>
    <w:rsid w:val="00C129AE"/>
    <w:rsid w:val="00C1710B"/>
    <w:rsid w:val="00C51250"/>
    <w:rsid w:val="00C6179C"/>
    <w:rsid w:val="00C70B68"/>
    <w:rsid w:val="00C757FE"/>
    <w:rsid w:val="00C8290D"/>
    <w:rsid w:val="00C929ED"/>
    <w:rsid w:val="00CB2929"/>
    <w:rsid w:val="00CB6771"/>
    <w:rsid w:val="00CC1629"/>
    <w:rsid w:val="00CC6127"/>
    <w:rsid w:val="00CD198E"/>
    <w:rsid w:val="00CD6D64"/>
    <w:rsid w:val="00CE1C92"/>
    <w:rsid w:val="00CE4DAA"/>
    <w:rsid w:val="00D03109"/>
    <w:rsid w:val="00D30319"/>
    <w:rsid w:val="00D35B60"/>
    <w:rsid w:val="00D40791"/>
    <w:rsid w:val="00D42346"/>
    <w:rsid w:val="00D5624B"/>
    <w:rsid w:val="00D610A8"/>
    <w:rsid w:val="00D7431F"/>
    <w:rsid w:val="00D758B4"/>
    <w:rsid w:val="00D850FF"/>
    <w:rsid w:val="00D8678B"/>
    <w:rsid w:val="00D9239C"/>
    <w:rsid w:val="00DA10C3"/>
    <w:rsid w:val="00DA1C67"/>
    <w:rsid w:val="00DA7362"/>
    <w:rsid w:val="00DB06F3"/>
    <w:rsid w:val="00DB79C6"/>
    <w:rsid w:val="00DC41EC"/>
    <w:rsid w:val="00DD3DAD"/>
    <w:rsid w:val="00DD4A88"/>
    <w:rsid w:val="00DD65E3"/>
    <w:rsid w:val="00DE1245"/>
    <w:rsid w:val="00DE6918"/>
    <w:rsid w:val="00DF19CE"/>
    <w:rsid w:val="00E035CE"/>
    <w:rsid w:val="00E11936"/>
    <w:rsid w:val="00E20E81"/>
    <w:rsid w:val="00E24EAE"/>
    <w:rsid w:val="00E26B55"/>
    <w:rsid w:val="00E30BC3"/>
    <w:rsid w:val="00E31D68"/>
    <w:rsid w:val="00E33F06"/>
    <w:rsid w:val="00E737AC"/>
    <w:rsid w:val="00E752D3"/>
    <w:rsid w:val="00E82AFA"/>
    <w:rsid w:val="00E833FE"/>
    <w:rsid w:val="00E85A96"/>
    <w:rsid w:val="00EA0295"/>
    <w:rsid w:val="00EA614A"/>
    <w:rsid w:val="00EB6928"/>
    <w:rsid w:val="00EC12D6"/>
    <w:rsid w:val="00EE4E88"/>
    <w:rsid w:val="00EE5862"/>
    <w:rsid w:val="00EE67F6"/>
    <w:rsid w:val="00F051D7"/>
    <w:rsid w:val="00F11F43"/>
    <w:rsid w:val="00F12FEE"/>
    <w:rsid w:val="00F36956"/>
    <w:rsid w:val="00F45E9E"/>
    <w:rsid w:val="00F54025"/>
    <w:rsid w:val="00F568FF"/>
    <w:rsid w:val="00F73D30"/>
    <w:rsid w:val="00F91C63"/>
    <w:rsid w:val="00FA769C"/>
    <w:rsid w:val="00FB126C"/>
    <w:rsid w:val="00FC18D3"/>
    <w:rsid w:val="00FC351C"/>
    <w:rsid w:val="00FC73E4"/>
    <w:rsid w:val="00FC7A1A"/>
    <w:rsid w:val="00FD1BBC"/>
    <w:rsid w:val="00FD7163"/>
    <w:rsid w:val="00FE0101"/>
    <w:rsid w:val="00FE7675"/>
    <w:rsid w:val="00FF37AA"/>
    <w:rsid w:val="09F362A3"/>
    <w:rsid w:val="11947686"/>
    <w:rsid w:val="3B836878"/>
    <w:rsid w:val="4F92240D"/>
    <w:rsid w:val="656B0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日期 字符"/>
    <w:basedOn w:val="7"/>
    <w:link w:val="2"/>
    <w:semiHidden/>
    <w:uiPriority w:val="99"/>
  </w:style>
  <w:style w:type="character" w:customStyle="1" w:styleId="12">
    <w:name w:val="Font Style79"/>
    <w:qFormat/>
    <w:uiPriority w:val="99"/>
    <w:rPr>
      <w:rFonts w:ascii="宋体" w:eastAsia="宋体" w:cs="宋体"/>
      <w:spacing w:val="20"/>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617</Words>
  <Characters>3522</Characters>
  <Lines>29</Lines>
  <Paragraphs>8</Paragraphs>
  <TotalTime>3</TotalTime>
  <ScaleCrop>false</ScaleCrop>
  <LinksUpToDate>false</LinksUpToDate>
  <CharactersWithSpaces>4131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2019-09-27T08:08:00Z</dcterms:created>
  <dc:creator>Windows 用户</dc:creator>
  <cp:lastModifiedBy>Administrator</cp:lastModifiedBy>
  <dcterms:modified xsi:type="dcterms:W3CDTF">2019-12-30T07:11:31Z</dcterms:modified>
  <cp:revision>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