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eastAsia="黑体"/>
          <w:bCs/>
          <w:sz w:val="22"/>
        </w:rPr>
      </w:pPr>
      <w:r>
        <w:rPr>
          <w:rFonts w:ascii="黑体" w:eastAsia="黑体"/>
          <w:bCs/>
          <w:sz w:val="2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eastAsia="黑体"/>
          <w:bCs/>
          <w:sz w:val="22"/>
        </w:rPr>
        <w:instrText xml:space="preserve">ADDIN CNKISM.UserStyle</w:instrText>
      </w:r>
      <w:r>
        <w:rPr>
          <w:rFonts w:ascii="黑体" w:eastAsia="黑体"/>
          <w:bCs/>
          <w:sz w:val="22"/>
        </w:rPr>
        <w:fldChar w:fldCharType="separate"/>
      </w:r>
      <w:r>
        <w:rPr>
          <w:rFonts w:ascii="黑体" w:eastAsia="黑体"/>
          <w:bCs/>
          <w:sz w:val="22"/>
        </w:rPr>
        <w:fldChar w:fldCharType="end"/>
      </w:r>
    </w:p>
    <w:p>
      <w:pPr>
        <w:spacing w:line="360" w:lineRule="auto"/>
        <w:jc w:val="center"/>
        <w:rPr>
          <w:rFonts w:ascii="黑体" w:eastAsia="黑体"/>
          <w:b/>
          <w:sz w:val="32"/>
          <w:szCs w:val="32"/>
        </w:rPr>
      </w:pPr>
      <w:r>
        <w:rPr>
          <w:rFonts w:hint="eastAsia" w:ascii="黑体" w:eastAsia="黑体"/>
          <w:b/>
          <w:sz w:val="32"/>
          <w:szCs w:val="32"/>
        </w:rPr>
        <w:t>202</w:t>
      </w:r>
      <w:r>
        <w:rPr>
          <w:rFonts w:hint="eastAsia" w:ascii="黑体" w:eastAsia="黑体"/>
          <w:b/>
          <w:sz w:val="32"/>
          <w:szCs w:val="32"/>
          <w:lang w:val="en-US" w:eastAsia="zh-CN"/>
        </w:rPr>
        <w:t>1</w:t>
      </w:r>
      <w:r>
        <w:rPr>
          <w:rFonts w:hint="eastAsia" w:ascii="黑体" w:eastAsia="黑体"/>
          <w:b/>
          <w:sz w:val="32"/>
          <w:szCs w:val="32"/>
        </w:rPr>
        <w:t>年经济</w:t>
      </w:r>
      <w:r>
        <w:rPr>
          <w:rFonts w:ascii="黑体" w:eastAsia="黑体"/>
          <w:b/>
          <w:sz w:val="32"/>
          <w:szCs w:val="32"/>
        </w:rPr>
        <w:t>与管理</w:t>
      </w:r>
      <w:r>
        <w:rPr>
          <w:rFonts w:hint="eastAsia" w:ascii="黑体" w:eastAsia="黑体"/>
          <w:b/>
          <w:sz w:val="32"/>
          <w:szCs w:val="32"/>
        </w:rPr>
        <w:t>学院</w:t>
      </w:r>
      <w:bookmarkStart w:id="1" w:name="_GoBack"/>
      <w:bookmarkEnd w:id="1"/>
    </w:p>
    <w:p>
      <w:pPr>
        <w:spacing w:line="360" w:lineRule="auto"/>
        <w:jc w:val="center"/>
        <w:rPr>
          <w:rFonts w:ascii="黑体" w:eastAsia="黑体"/>
          <w:b/>
          <w:sz w:val="32"/>
          <w:szCs w:val="32"/>
        </w:rPr>
      </w:pPr>
      <w:r>
        <w:rPr>
          <w:rFonts w:hint="eastAsia" w:ascii="黑体" w:eastAsia="黑体"/>
          <w:b/>
          <w:sz w:val="32"/>
          <w:szCs w:val="32"/>
        </w:rPr>
        <w:t>研究生国家奖学金评定实施细则</w:t>
      </w:r>
    </w:p>
    <w:p>
      <w:pPr>
        <w:spacing w:line="360" w:lineRule="auto"/>
        <w:jc w:val="center"/>
        <w:rPr>
          <w:rFonts w:ascii="黑体" w:eastAsia="黑体"/>
          <w:b/>
          <w:sz w:val="32"/>
          <w:szCs w:val="32"/>
        </w:rPr>
      </w:pPr>
    </w:p>
    <w:p>
      <w:pPr>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为了激励研究生勤奋学习、潜心科研、勇于创新、积极进取，根据《电子科技大学研究生</w:t>
      </w:r>
      <w:r>
        <w:rPr>
          <w:rFonts w:hint="eastAsia" w:cs="宋体" w:asciiTheme="minorEastAsia" w:hAnsiTheme="minorEastAsia"/>
          <w:sz w:val="24"/>
          <w:szCs w:val="24"/>
          <w:lang w:val="en-US" w:eastAsia="zh-CN"/>
        </w:rPr>
        <w:t>荣誉奖励实施办法</w:t>
      </w:r>
      <w:r>
        <w:rPr>
          <w:rFonts w:hint="eastAsia" w:cs="宋体" w:asciiTheme="minorEastAsia" w:hAnsiTheme="minorEastAsia"/>
          <w:sz w:val="24"/>
          <w:szCs w:val="24"/>
        </w:rPr>
        <w:t>》</w:t>
      </w:r>
      <w:r>
        <w:rPr>
          <w:rFonts w:hint="eastAsia" w:cs="宋体" w:asciiTheme="minorEastAsia" w:hAnsiTheme="minorEastAsia"/>
          <w:sz w:val="24"/>
          <w:szCs w:val="24"/>
          <w:lang w:val="en-US" w:eastAsia="zh-CN"/>
        </w:rPr>
        <w:t>校研[2019]164号</w:t>
      </w:r>
      <w:r>
        <w:rPr>
          <w:rFonts w:hint="eastAsia" w:cs="宋体" w:asciiTheme="minorEastAsia" w:hAnsiTheme="minorEastAsia"/>
          <w:sz w:val="24"/>
          <w:szCs w:val="24"/>
        </w:rPr>
        <w:t>、《电子科技大学研究生国家奖学金</w:t>
      </w:r>
      <w:r>
        <w:rPr>
          <w:rFonts w:hint="eastAsia" w:cs="宋体" w:asciiTheme="minorEastAsia" w:hAnsiTheme="minorEastAsia"/>
          <w:sz w:val="24"/>
          <w:szCs w:val="24"/>
          <w:lang w:val="en-US" w:eastAsia="zh-CN"/>
        </w:rPr>
        <w:t>评审</w:t>
      </w:r>
      <w:r>
        <w:rPr>
          <w:rFonts w:hint="eastAsia" w:cs="宋体" w:asciiTheme="minorEastAsia" w:hAnsiTheme="minorEastAsia"/>
          <w:sz w:val="24"/>
          <w:szCs w:val="24"/>
        </w:rPr>
        <w:t>管理办法》校研[2019]165号、《经济与管理学院科研奖励条例》、《经济与管理学院研究生奖学金评定补充条例》等文件精神，为保证研究生国家奖学金评定公平、公正，特制定本细则。</w:t>
      </w:r>
    </w:p>
    <w:p>
      <w:pPr>
        <w:spacing w:line="400" w:lineRule="exact"/>
        <w:rPr>
          <w:rFonts w:ascii="宋体" w:hAnsi="宋体" w:eastAsia="宋体"/>
          <w:b/>
          <w:bCs/>
          <w:sz w:val="28"/>
          <w:szCs w:val="28"/>
        </w:rPr>
      </w:pPr>
      <w:r>
        <w:rPr>
          <w:rFonts w:ascii="宋体" w:hAnsi="宋体" w:eastAsia="宋体"/>
          <w:b/>
          <w:bCs/>
          <w:sz w:val="28"/>
          <w:szCs w:val="28"/>
        </w:rPr>
        <w:t>一、</w:t>
      </w:r>
      <w:r>
        <w:rPr>
          <w:rFonts w:ascii="宋体" w:hAnsi="宋体" w:eastAsia="宋体"/>
          <w:b/>
          <w:bCs/>
          <w:sz w:val="24"/>
          <w:szCs w:val="24"/>
        </w:rPr>
        <w:t>申请范围</w:t>
      </w:r>
    </w:p>
    <w:p>
      <w:pPr>
        <w:pStyle w:val="9"/>
        <w:numPr>
          <w:ilvl w:val="0"/>
          <w:numId w:val="1"/>
        </w:numPr>
        <w:spacing w:line="400" w:lineRule="exact"/>
        <w:rPr>
          <w:rFonts w:cs="宋体" w:asciiTheme="minorEastAsia" w:hAnsiTheme="minorEastAsia"/>
          <w:color w:val="auto"/>
        </w:rPr>
      </w:pPr>
      <w:r>
        <w:rPr>
          <w:rFonts w:hint="eastAsia" w:cs="宋体" w:asciiTheme="minorEastAsia" w:hAnsiTheme="minorEastAsia"/>
          <w:color w:val="auto"/>
        </w:rPr>
        <w:t>硕士研究生评选范围为硕士一年级至三年级的全日制</w:t>
      </w:r>
      <w:r>
        <w:rPr>
          <w:rFonts w:hint="eastAsia"/>
          <w:color w:val="auto"/>
        </w:rPr>
        <w:t>非定向（</w:t>
      </w:r>
      <w:r>
        <w:rPr>
          <w:rFonts w:hint="eastAsia" w:cs="宋体" w:asciiTheme="minorEastAsia" w:hAnsiTheme="minorEastAsia"/>
          <w:color w:val="auto"/>
        </w:rPr>
        <w:t>自筹</w:t>
      </w:r>
      <w:r>
        <w:rPr>
          <w:rFonts w:hint="eastAsia"/>
          <w:color w:val="auto"/>
        </w:rPr>
        <w:t>）</w:t>
      </w:r>
      <w:r>
        <w:rPr>
          <w:rFonts w:hint="eastAsia" w:cs="宋体" w:asciiTheme="minorEastAsia" w:hAnsiTheme="minorEastAsia"/>
          <w:color w:val="auto"/>
        </w:rPr>
        <w:t>硕士研究生，金融专硕评选范围为一年级至二年级。</w:t>
      </w:r>
    </w:p>
    <w:p>
      <w:pPr>
        <w:pStyle w:val="9"/>
        <w:numPr>
          <w:ilvl w:val="0"/>
          <w:numId w:val="1"/>
        </w:numPr>
        <w:spacing w:line="400" w:lineRule="exact"/>
        <w:rPr>
          <w:rFonts w:cs="宋体" w:asciiTheme="minorEastAsia" w:hAnsiTheme="minorEastAsia"/>
          <w:color w:val="auto"/>
        </w:rPr>
      </w:pPr>
      <w:r>
        <w:rPr>
          <w:rFonts w:hint="eastAsia" w:cs="宋体" w:asciiTheme="minorEastAsia" w:hAnsiTheme="minorEastAsia"/>
          <w:color w:val="auto"/>
        </w:rPr>
        <w:t>博士研究生评选范围为博士一年级至四年级的全日制</w:t>
      </w:r>
      <w:r>
        <w:rPr>
          <w:rFonts w:hint="eastAsia"/>
          <w:color w:val="auto"/>
        </w:rPr>
        <w:t>非定向（</w:t>
      </w:r>
      <w:r>
        <w:rPr>
          <w:rFonts w:hint="eastAsia" w:cs="宋体" w:asciiTheme="minorEastAsia" w:hAnsiTheme="minorEastAsia"/>
          <w:color w:val="auto"/>
        </w:rPr>
        <w:t>自筹</w:t>
      </w:r>
      <w:r>
        <w:rPr>
          <w:rFonts w:hint="eastAsia"/>
          <w:color w:val="auto"/>
        </w:rPr>
        <w:t>）</w:t>
      </w:r>
      <w:r>
        <w:rPr>
          <w:rFonts w:hint="eastAsia" w:cs="宋体" w:asciiTheme="minorEastAsia" w:hAnsiTheme="minorEastAsia"/>
          <w:color w:val="auto"/>
        </w:rPr>
        <w:t>博士研究生以及五年级本科直博生。</w:t>
      </w:r>
    </w:p>
    <w:p>
      <w:pPr>
        <w:pStyle w:val="9"/>
        <w:numPr>
          <w:ilvl w:val="0"/>
          <w:numId w:val="1"/>
        </w:numPr>
        <w:spacing w:line="400" w:lineRule="exact"/>
        <w:rPr>
          <w:rFonts w:cs="宋体" w:asciiTheme="minorEastAsia" w:hAnsiTheme="minorEastAsia"/>
          <w:color w:val="auto"/>
        </w:rPr>
      </w:pPr>
      <w:r>
        <w:rPr>
          <w:rFonts w:hint="eastAsia" w:cs="宋体" w:asciiTheme="minorEastAsia" w:hAnsiTheme="minorEastAsia"/>
          <w:color w:val="auto"/>
        </w:rPr>
        <w:t>硕博连读研究生在注册为博士研究生后，进入选修博士研究生课程阶段，按照博士研究生身份参与评定。</w:t>
      </w:r>
    </w:p>
    <w:p>
      <w:pPr>
        <w:pStyle w:val="9"/>
        <w:numPr>
          <w:ilvl w:val="0"/>
          <w:numId w:val="1"/>
        </w:numPr>
        <w:spacing w:line="400" w:lineRule="exact"/>
        <w:rPr>
          <w:rFonts w:cs="宋体" w:asciiTheme="minorEastAsia" w:hAnsiTheme="minorEastAsia"/>
          <w:color w:val="auto"/>
        </w:rPr>
      </w:pPr>
      <w:r>
        <w:rPr>
          <w:rFonts w:hint="eastAsia" w:cs="宋体" w:asciiTheme="minorEastAsia" w:hAnsiTheme="minorEastAsia"/>
          <w:color w:val="auto"/>
        </w:rPr>
        <w:t>因国家和单位公派出国留学或校际交流在境外学习的研究生，仍具备参评资格。</w:t>
      </w:r>
    </w:p>
    <w:p>
      <w:pPr>
        <w:pStyle w:val="9"/>
        <w:spacing w:line="400" w:lineRule="exact"/>
        <w:rPr>
          <w:rFonts w:ascii="宋体" w:hAnsi="宋体" w:eastAsia="宋体" w:cstheme="minorBidi"/>
          <w:b/>
          <w:bCs/>
          <w:color w:val="auto"/>
        </w:rPr>
      </w:pPr>
      <w:r>
        <w:rPr>
          <w:rFonts w:hint="eastAsia" w:ascii="宋体" w:hAnsi="宋体" w:eastAsia="宋体" w:cstheme="minorBidi"/>
          <w:b/>
          <w:bCs/>
          <w:color w:val="auto"/>
        </w:rPr>
        <w:t>二、有下列情况之一者，取消当年评奖资格</w:t>
      </w:r>
    </w:p>
    <w:p>
      <w:pPr>
        <w:pStyle w:val="9"/>
        <w:spacing w:line="400" w:lineRule="exact"/>
        <w:ind w:left="420"/>
        <w:rPr>
          <w:rFonts w:cs="宋体" w:asciiTheme="minorEastAsia" w:hAnsiTheme="minorEastAsia"/>
          <w:color w:val="auto"/>
        </w:rPr>
      </w:pPr>
      <w:r>
        <w:rPr>
          <w:rFonts w:hint="eastAsia" w:cs="宋体" w:asciiTheme="minorEastAsia" w:hAnsiTheme="minorEastAsia"/>
          <w:color w:val="auto"/>
        </w:rPr>
        <w:t>1、违反国家法律、校纪校规受到纪律处分者；</w:t>
      </w:r>
    </w:p>
    <w:p>
      <w:pPr>
        <w:pStyle w:val="9"/>
        <w:spacing w:line="400" w:lineRule="exact"/>
        <w:ind w:left="420"/>
        <w:rPr>
          <w:rFonts w:cs="宋体" w:asciiTheme="minorEastAsia" w:hAnsiTheme="minorEastAsia"/>
          <w:color w:val="auto"/>
        </w:rPr>
      </w:pPr>
      <w:r>
        <w:rPr>
          <w:rFonts w:hint="eastAsia" w:cs="宋体" w:asciiTheme="minorEastAsia" w:hAnsiTheme="minorEastAsia"/>
          <w:color w:val="auto"/>
        </w:rPr>
        <w:t>2、不符合学业奖学金申请条件的；</w:t>
      </w:r>
    </w:p>
    <w:p>
      <w:pPr>
        <w:numPr>
          <w:ilvl w:val="0"/>
          <w:numId w:val="2"/>
        </w:numPr>
        <w:spacing w:after="120" w:afterLines="50" w:line="400" w:lineRule="exact"/>
        <w:rPr>
          <w:rFonts w:ascii="宋体" w:hAnsi="宋体" w:eastAsia="宋体"/>
          <w:b/>
          <w:bCs/>
          <w:sz w:val="24"/>
          <w:szCs w:val="24"/>
        </w:rPr>
      </w:pPr>
      <w:r>
        <w:rPr>
          <w:rFonts w:ascii="宋体" w:hAnsi="宋体" w:eastAsia="宋体"/>
          <w:b/>
          <w:bCs/>
          <w:sz w:val="24"/>
          <w:szCs w:val="24"/>
        </w:rPr>
        <w:t>学院研究生奖学金评审委员会</w:t>
      </w:r>
    </w:p>
    <w:p>
      <w:pPr>
        <w:spacing w:line="360" w:lineRule="auto"/>
        <w:ind w:firstLine="480" w:firstLineChars="200"/>
        <w:rPr>
          <w:rFonts w:hint="eastAsia" w:ascii="宋体" w:eastAsia="宋体" w:cs="宋体"/>
          <w:sz w:val="24"/>
          <w:szCs w:val="24"/>
        </w:rPr>
      </w:pPr>
      <w:r>
        <w:rPr>
          <w:rFonts w:hint="eastAsia" w:ascii="宋体" w:eastAsia="宋体" w:cs="宋体"/>
          <w:sz w:val="24"/>
          <w:szCs w:val="24"/>
        </w:rPr>
        <w:t>主任委员：马永开（院长）</w:t>
      </w:r>
    </w:p>
    <w:p>
      <w:pPr>
        <w:spacing w:line="360" w:lineRule="auto"/>
        <w:ind w:firstLine="480" w:firstLineChars="200"/>
        <w:rPr>
          <w:rFonts w:hint="default" w:ascii="宋体" w:eastAsia="宋体" w:cs="宋体"/>
          <w:sz w:val="24"/>
          <w:szCs w:val="24"/>
          <w:lang w:val="en-US" w:eastAsia="zh-CN"/>
        </w:rPr>
      </w:pPr>
      <w:r>
        <w:rPr>
          <w:rFonts w:hint="eastAsia" w:ascii="宋体" w:eastAsia="宋体" w:cs="宋体"/>
          <w:sz w:val="24"/>
          <w:szCs w:val="24"/>
          <w:lang w:val="en-US" w:eastAsia="zh-CN"/>
        </w:rPr>
        <w:t>副主任委员：</w:t>
      </w:r>
      <w:r>
        <w:rPr>
          <w:rFonts w:hint="eastAsia" w:ascii="宋体" w:eastAsia="宋体" w:cs="宋体"/>
          <w:sz w:val="24"/>
          <w:szCs w:val="24"/>
        </w:rPr>
        <w:t>陈旭（副院长）、潘杨（副书记）</w:t>
      </w:r>
      <w:r>
        <w:rPr>
          <w:rFonts w:hint="eastAsia" w:ascii="宋体" w:eastAsia="宋体" w:cs="宋体"/>
          <w:sz w:val="24"/>
          <w:szCs w:val="24"/>
          <w:lang w:eastAsia="zh-CN"/>
        </w:rPr>
        <w:t>、</w:t>
      </w:r>
      <w:r>
        <w:rPr>
          <w:rFonts w:hint="eastAsia" w:ascii="宋体" w:eastAsia="宋体" w:cs="宋体"/>
          <w:sz w:val="24"/>
          <w:szCs w:val="24"/>
        </w:rPr>
        <w:t>肖延高（副院长）</w:t>
      </w:r>
    </w:p>
    <w:p>
      <w:pPr>
        <w:spacing w:line="360" w:lineRule="auto"/>
        <w:ind w:firstLine="480" w:firstLineChars="200"/>
        <w:jc w:val="both"/>
        <w:rPr>
          <w:rFonts w:ascii="Calibri" w:hAnsi="Calibri" w:eastAsia="宋体" w:cs="Times New Roman"/>
          <w:bCs/>
          <w:kern w:val="2"/>
          <w:sz w:val="24"/>
        </w:rPr>
      </w:pPr>
      <w:r>
        <w:rPr>
          <w:rFonts w:hint="eastAsia" w:cs="宋体" w:asciiTheme="minorEastAsia" w:hAnsiTheme="minorEastAsia"/>
          <w:sz w:val="24"/>
          <w:szCs w:val="24"/>
        </w:rPr>
        <w:t>委员：艾兴政（教授、系主任）、宋艳（教授、系主任）、李亚静（教授、系主任）、方佳明（教授、副系主任）、钱宇（副教授、系支部书记）、刘文彬（副教授、系支部书记）、尹宇明（副教授、系支部书记）、王敏（副教授、副系主任）、陈朝龙（副教授、副系主任）、马捷（副教授、副系主任）、陈德富（MBA项目主任）、</w:t>
      </w:r>
      <w:r>
        <w:rPr>
          <w:rFonts w:hint="eastAsia" w:cs="宋体" w:asciiTheme="minorEastAsia" w:hAnsiTheme="minorEastAsia"/>
          <w:sz w:val="24"/>
          <w:szCs w:val="24"/>
          <w:lang w:val="en-US" w:eastAsia="zh-CN"/>
        </w:rPr>
        <w:t>孔刚、</w:t>
      </w:r>
      <w:r>
        <w:rPr>
          <w:rFonts w:hint="eastAsia" w:cs="宋体" w:asciiTheme="minorEastAsia" w:hAnsiTheme="minorEastAsia"/>
          <w:sz w:val="24"/>
          <w:szCs w:val="24"/>
        </w:rPr>
        <w:t>陈莉</w:t>
      </w:r>
      <w:r>
        <w:rPr>
          <w:rFonts w:hint="eastAsia" w:cs="宋体" w:asciiTheme="minorEastAsia" w:hAnsiTheme="minorEastAsia"/>
          <w:sz w:val="24"/>
          <w:szCs w:val="24"/>
          <w:lang w:eastAsia="zh-CN"/>
        </w:rPr>
        <w:t>（</w:t>
      </w:r>
      <w:r>
        <w:rPr>
          <w:rFonts w:hint="eastAsia" w:cs="宋体" w:asciiTheme="minorEastAsia" w:hAnsiTheme="minorEastAsia"/>
          <w:sz w:val="24"/>
          <w:szCs w:val="24"/>
          <w:lang w:val="en-US" w:eastAsia="zh-CN"/>
        </w:rPr>
        <w:t>学生科科长</w:t>
      </w:r>
      <w:r>
        <w:rPr>
          <w:rFonts w:hint="eastAsia" w:cs="宋体" w:asciiTheme="minorEastAsia" w:hAnsiTheme="minorEastAsia"/>
          <w:sz w:val="24"/>
          <w:szCs w:val="24"/>
          <w:lang w:eastAsia="zh-CN"/>
        </w:rPr>
        <w:t>）</w:t>
      </w:r>
      <w:r>
        <w:rPr>
          <w:rFonts w:hint="eastAsia" w:cs="宋体" w:asciiTheme="minorEastAsia" w:hAnsiTheme="minorEastAsia"/>
          <w:sz w:val="24"/>
          <w:szCs w:val="24"/>
        </w:rPr>
        <w:t>、刘军（研究生辅导员）、刘刚（研究生辅导员）、</w:t>
      </w:r>
      <w:r>
        <w:rPr>
          <w:rFonts w:hint="eastAsia" w:cs="宋体" w:asciiTheme="minorEastAsia" w:hAnsiTheme="minorEastAsia"/>
          <w:sz w:val="24"/>
          <w:szCs w:val="24"/>
          <w:lang w:val="en-US" w:eastAsia="zh-CN"/>
        </w:rPr>
        <w:t>刘成圆（研究生辅导员）、教师代表、</w:t>
      </w:r>
      <w:r>
        <w:rPr>
          <w:rFonts w:hint="eastAsia" w:cs="宋体" w:asciiTheme="minorEastAsia" w:hAnsiTheme="minorEastAsia"/>
          <w:sz w:val="24"/>
          <w:szCs w:val="24"/>
        </w:rPr>
        <w:t>学生代表（不少于</w:t>
      </w:r>
      <w:r>
        <w:rPr>
          <w:rFonts w:hint="eastAsia" w:ascii="Calibri" w:hAnsi="Calibri" w:eastAsia="宋体" w:cs="Times New Roman"/>
          <w:bCs/>
          <w:kern w:val="2"/>
          <w:sz w:val="24"/>
        </w:rPr>
        <w:t>两名）</w:t>
      </w:r>
    </w:p>
    <w:p>
      <w:pPr>
        <w:spacing w:line="360" w:lineRule="auto"/>
        <w:ind w:firstLine="482" w:firstLineChars="200"/>
        <w:rPr>
          <w:rFonts w:ascii="宋体" w:hAnsi="宋体" w:eastAsia="宋体"/>
          <w:b/>
          <w:bCs/>
          <w:sz w:val="24"/>
          <w:szCs w:val="24"/>
        </w:rPr>
      </w:pPr>
      <w:r>
        <w:rPr>
          <w:rFonts w:ascii="宋体" w:hAnsi="宋体" w:eastAsia="宋体"/>
          <w:b/>
          <w:bCs/>
          <w:sz w:val="24"/>
          <w:szCs w:val="24"/>
        </w:rPr>
        <w:t>四、基本流程</w:t>
      </w:r>
    </w:p>
    <w:p>
      <w:pPr>
        <w:spacing w:line="400" w:lineRule="exact"/>
        <w:ind w:left="480"/>
        <w:rPr>
          <w:rFonts w:asciiTheme="minorEastAsia" w:hAnsiTheme="minorEastAsia"/>
          <w:sz w:val="24"/>
        </w:rPr>
      </w:pPr>
      <w:r>
        <w:rPr>
          <w:rFonts w:asciiTheme="minorEastAsia" w:hAnsiTheme="minorEastAsia"/>
          <w:sz w:val="24"/>
        </w:rPr>
        <w:t>1、学生提出申请；</w:t>
      </w:r>
    </w:p>
    <w:p>
      <w:pPr>
        <w:spacing w:line="400" w:lineRule="exact"/>
        <w:ind w:left="480"/>
        <w:rPr>
          <w:rFonts w:asciiTheme="minorEastAsia" w:hAnsiTheme="minorEastAsia"/>
          <w:sz w:val="24"/>
        </w:rPr>
      </w:pPr>
      <w:r>
        <w:rPr>
          <w:rFonts w:asciiTheme="minorEastAsia" w:hAnsiTheme="minorEastAsia"/>
          <w:sz w:val="24"/>
        </w:rPr>
        <w:t>2、学院对申请人进行资格审查；</w:t>
      </w:r>
    </w:p>
    <w:p>
      <w:pPr>
        <w:spacing w:line="400" w:lineRule="exact"/>
        <w:ind w:left="480"/>
        <w:rPr>
          <w:rFonts w:asciiTheme="minorEastAsia" w:hAnsiTheme="minorEastAsia"/>
          <w:sz w:val="24"/>
        </w:rPr>
      </w:pPr>
      <w:r>
        <w:rPr>
          <w:rFonts w:asciiTheme="minorEastAsia" w:hAnsiTheme="minorEastAsia"/>
          <w:sz w:val="24"/>
        </w:rPr>
        <w:t>3、</w:t>
      </w:r>
      <w:r>
        <w:rPr>
          <w:rFonts w:hint="eastAsia"/>
          <w:sz w:val="24"/>
        </w:rPr>
        <w:t>学院奖学金评审委员会组织评定；</w:t>
      </w:r>
    </w:p>
    <w:p>
      <w:pPr>
        <w:spacing w:line="400" w:lineRule="exact"/>
        <w:ind w:firstLine="480" w:firstLineChars="200"/>
        <w:rPr>
          <w:rFonts w:asciiTheme="minorEastAsia" w:hAnsiTheme="minorEastAsia"/>
          <w:sz w:val="24"/>
        </w:rPr>
      </w:pPr>
      <w:bookmarkStart w:id="0" w:name="page2"/>
      <w:bookmarkEnd w:id="0"/>
      <w:r>
        <w:rPr>
          <w:rFonts w:asciiTheme="minorEastAsia" w:hAnsiTheme="minorEastAsia"/>
          <w:sz w:val="24"/>
        </w:rPr>
        <w:t>4、公示评选结果；</w:t>
      </w:r>
    </w:p>
    <w:p>
      <w:pPr>
        <w:spacing w:line="400" w:lineRule="exact"/>
        <w:ind w:left="480"/>
        <w:rPr>
          <w:rFonts w:asciiTheme="minorEastAsia" w:hAnsiTheme="minorEastAsia"/>
          <w:sz w:val="24"/>
        </w:rPr>
      </w:pPr>
      <w:r>
        <w:rPr>
          <w:rFonts w:asciiTheme="minorEastAsia" w:hAnsiTheme="minorEastAsia"/>
          <w:sz w:val="24"/>
        </w:rPr>
        <w:t>5、在公示期内，如有异议可进行申诉；</w:t>
      </w:r>
    </w:p>
    <w:p>
      <w:pPr>
        <w:spacing w:line="400" w:lineRule="exact"/>
        <w:ind w:firstLine="480" w:firstLineChars="200"/>
        <w:rPr>
          <w:rFonts w:ascii="宋体" w:hAnsi="宋体" w:eastAsia="宋体"/>
          <w:sz w:val="24"/>
        </w:rPr>
      </w:pPr>
      <w:r>
        <w:rPr>
          <w:rFonts w:asciiTheme="minorEastAsia" w:hAnsiTheme="minorEastAsia"/>
          <w:sz w:val="24"/>
        </w:rPr>
        <w:t>6、将学院评选</w:t>
      </w:r>
      <w:r>
        <w:rPr>
          <w:rFonts w:ascii="宋体" w:hAnsi="宋体" w:eastAsia="宋体"/>
          <w:sz w:val="24"/>
        </w:rPr>
        <w:t>结果报送研究生院审核。</w:t>
      </w:r>
    </w:p>
    <w:p>
      <w:pPr>
        <w:spacing w:line="400" w:lineRule="exact"/>
        <w:rPr>
          <w:b/>
          <w:bCs/>
          <w:sz w:val="24"/>
        </w:rPr>
      </w:pPr>
      <w:r>
        <w:rPr>
          <w:rFonts w:hint="eastAsia"/>
          <w:b/>
          <w:bCs/>
          <w:sz w:val="24"/>
        </w:rPr>
        <w:t>五</w:t>
      </w:r>
      <w:r>
        <w:rPr>
          <w:b/>
          <w:bCs/>
          <w:sz w:val="24"/>
        </w:rPr>
        <w:t>、名额分配方式</w:t>
      </w:r>
    </w:p>
    <w:p>
      <w:pPr>
        <w:spacing w:line="400" w:lineRule="exact"/>
        <w:ind w:firstLine="480" w:firstLineChars="200"/>
        <w:rPr>
          <w:rFonts w:asciiTheme="minorEastAsia" w:hAnsiTheme="minorEastAsia"/>
          <w:sz w:val="24"/>
        </w:rPr>
      </w:pPr>
      <w:r>
        <w:rPr>
          <w:rFonts w:hint="eastAsia" w:asciiTheme="minorEastAsia" w:hAnsiTheme="minorEastAsia"/>
          <w:sz w:val="24"/>
        </w:rPr>
        <w:t>根据研究生院所分配名额，学院奖学金</w:t>
      </w:r>
      <w:r>
        <w:rPr>
          <w:rFonts w:hint="eastAsia" w:ascii="宋体" w:hAnsi="宋体"/>
          <w:bCs/>
          <w:sz w:val="24"/>
        </w:rPr>
        <w:t>评审委员会分别组织硕博“专场奖学金答辩会”，根据现场答辩评审情况，确定申请者的最终排名，按照从高到低的原则进行推荐。</w:t>
      </w:r>
    </w:p>
    <w:p>
      <w:pPr>
        <w:spacing w:line="400" w:lineRule="exact"/>
        <w:rPr>
          <w:rFonts w:ascii="宋体" w:hAnsi="宋体" w:eastAsia="宋体"/>
          <w:b/>
          <w:bCs/>
          <w:sz w:val="24"/>
          <w:szCs w:val="24"/>
        </w:rPr>
      </w:pPr>
      <w:r>
        <w:rPr>
          <w:rFonts w:hint="eastAsia" w:ascii="宋体" w:hAnsi="宋体" w:eastAsia="宋体"/>
          <w:b/>
          <w:bCs/>
          <w:sz w:val="24"/>
          <w:szCs w:val="24"/>
        </w:rPr>
        <w:t>六</w:t>
      </w:r>
      <w:r>
        <w:rPr>
          <w:rFonts w:ascii="宋体" w:hAnsi="宋体" w:eastAsia="宋体"/>
          <w:b/>
          <w:bCs/>
          <w:sz w:val="24"/>
          <w:szCs w:val="24"/>
        </w:rPr>
        <w:t>、公示</w:t>
      </w:r>
    </w:p>
    <w:p>
      <w:pPr>
        <w:numPr>
          <w:ilvl w:val="0"/>
          <w:numId w:val="3"/>
        </w:numPr>
        <w:spacing w:line="400" w:lineRule="exact"/>
        <w:ind w:left="480"/>
        <w:rPr>
          <w:rFonts w:asciiTheme="minorEastAsia" w:hAnsiTheme="minorEastAsia"/>
          <w:sz w:val="24"/>
        </w:rPr>
      </w:pPr>
      <w:r>
        <w:rPr>
          <w:rFonts w:asciiTheme="minorEastAsia" w:hAnsiTheme="minorEastAsia"/>
          <w:sz w:val="24"/>
        </w:rPr>
        <w:t>公示方式：学院官方网站：</w:t>
      </w:r>
      <w:r>
        <w:rPr>
          <w:rFonts w:cs="Times New Roman"/>
          <w:sz w:val="24"/>
        </w:rPr>
        <w:t>www.mgmt.uestc.edu.cn</w:t>
      </w:r>
    </w:p>
    <w:p>
      <w:pPr>
        <w:spacing w:line="400" w:lineRule="exact"/>
        <w:rPr>
          <w:rFonts w:asciiTheme="minorEastAsia" w:hAnsiTheme="minorEastAsia"/>
          <w:sz w:val="24"/>
        </w:rPr>
      </w:pPr>
      <w:r>
        <w:rPr>
          <w:rFonts w:hint="eastAsia" w:asciiTheme="minorEastAsia" w:hAnsiTheme="minorEastAsia"/>
          <w:sz w:val="24"/>
        </w:rPr>
        <w:t xml:space="preserve">    </w:t>
      </w:r>
      <w:r>
        <w:rPr>
          <w:rFonts w:asciiTheme="minorEastAsia" w:hAnsiTheme="minorEastAsia"/>
          <w:sz w:val="24"/>
        </w:rPr>
        <w:t>2、其他补充公示方式：学院公告板、班级</w:t>
      </w:r>
      <w:r>
        <w:rPr>
          <w:rFonts w:hint="eastAsia" w:asciiTheme="minorEastAsia" w:hAnsiTheme="minorEastAsia"/>
          <w:sz w:val="24"/>
        </w:rPr>
        <w:t>微信、</w:t>
      </w:r>
      <w:r>
        <w:rPr>
          <w:rFonts w:cs="Times New Roman"/>
          <w:sz w:val="24"/>
        </w:rPr>
        <w:t>qq</w:t>
      </w:r>
      <w:r>
        <w:rPr>
          <w:rFonts w:asciiTheme="minorEastAsia" w:hAnsiTheme="minorEastAsia"/>
          <w:sz w:val="24"/>
        </w:rPr>
        <w:t xml:space="preserve"> 群。 </w:t>
      </w:r>
    </w:p>
    <w:p>
      <w:pPr>
        <w:spacing w:line="400" w:lineRule="exact"/>
        <w:ind w:firstLine="480"/>
        <w:rPr>
          <w:sz w:val="24"/>
        </w:rPr>
      </w:pPr>
      <w:r>
        <w:rPr>
          <w:rFonts w:asciiTheme="minorEastAsia" w:hAnsiTheme="minorEastAsia"/>
          <w:sz w:val="24"/>
        </w:rPr>
        <w:t>3、</w:t>
      </w:r>
      <w:r>
        <w:rPr>
          <w:rFonts w:hint="eastAsia" w:asciiTheme="minorEastAsia" w:hAnsiTheme="minorEastAsia"/>
          <w:sz w:val="24"/>
        </w:rPr>
        <w:t>公示内容：</w:t>
      </w:r>
      <w:r>
        <w:rPr>
          <w:rFonts w:hint="eastAsia"/>
          <w:sz w:val="24"/>
        </w:rPr>
        <w:t>课程平均分、奖学金附加材料、排名、获奖名单等</w:t>
      </w:r>
    </w:p>
    <w:p>
      <w:pPr>
        <w:spacing w:line="400" w:lineRule="exact"/>
        <w:ind w:firstLine="480" w:firstLineChars="200"/>
        <w:rPr>
          <w:rFonts w:ascii="Times New Roman" w:hAnsi="Times New Roman" w:eastAsia="仿宋_GB2312" w:cs="Times New Roman"/>
          <w:sz w:val="24"/>
          <w:szCs w:val="30"/>
        </w:rPr>
      </w:pPr>
      <w:r>
        <w:rPr>
          <w:sz w:val="24"/>
        </w:rPr>
        <w:t>4</w:t>
      </w:r>
      <w:r>
        <w:rPr>
          <w:rFonts w:hint="eastAsia"/>
          <w:sz w:val="24"/>
        </w:rPr>
        <w:t>、公示时间：</w:t>
      </w:r>
      <w:r>
        <w:rPr>
          <w:rFonts w:hint="eastAsia"/>
          <w:sz w:val="24"/>
          <w:lang w:val="en-US" w:eastAsia="zh-CN"/>
        </w:rPr>
        <w:t>拟推荐获奖名单公示时间</w:t>
      </w:r>
      <w:r>
        <w:rPr>
          <w:rFonts w:hint="eastAsia"/>
          <w:sz w:val="24"/>
        </w:rPr>
        <w:t>不少于</w:t>
      </w:r>
      <w:r>
        <w:rPr>
          <w:sz w:val="24"/>
        </w:rPr>
        <w:t>5</w:t>
      </w:r>
      <w:r>
        <w:rPr>
          <w:rFonts w:hint="eastAsia"/>
          <w:sz w:val="24"/>
        </w:rPr>
        <w:t>个工作日</w:t>
      </w:r>
    </w:p>
    <w:p>
      <w:pPr>
        <w:spacing w:line="400" w:lineRule="exact"/>
        <w:rPr>
          <w:rFonts w:ascii="宋体" w:hAnsi="宋体" w:eastAsia="宋体"/>
          <w:b/>
          <w:bCs/>
          <w:sz w:val="24"/>
          <w:szCs w:val="24"/>
        </w:rPr>
      </w:pPr>
      <w:r>
        <w:rPr>
          <w:rFonts w:hint="eastAsia" w:ascii="宋体" w:hAnsi="宋体" w:eastAsia="宋体"/>
          <w:b/>
          <w:bCs/>
          <w:sz w:val="24"/>
          <w:szCs w:val="24"/>
        </w:rPr>
        <w:t>七</w:t>
      </w:r>
      <w:r>
        <w:rPr>
          <w:rFonts w:ascii="宋体" w:hAnsi="宋体" w:eastAsia="宋体"/>
          <w:b/>
          <w:bCs/>
          <w:sz w:val="24"/>
          <w:szCs w:val="24"/>
        </w:rPr>
        <w:t>、申诉</w:t>
      </w:r>
    </w:p>
    <w:p>
      <w:pPr>
        <w:spacing w:line="400" w:lineRule="exact"/>
        <w:ind w:firstLine="480"/>
        <w:rPr>
          <w:rFonts w:ascii="宋体" w:hAnsi="宋体" w:eastAsia="宋体"/>
          <w:sz w:val="24"/>
        </w:rPr>
      </w:pPr>
      <w:r>
        <w:rPr>
          <w:rFonts w:ascii="宋体" w:hAnsi="宋体" w:eastAsia="宋体"/>
          <w:sz w:val="24"/>
        </w:rPr>
        <w:t>对奖学金评审结果有异议的研究生</w:t>
      </w:r>
      <w:r>
        <w:rPr>
          <w:rFonts w:ascii="Arial Unicode MS" w:hAnsi="Arial Unicode MS" w:eastAsia="Arial Unicode MS"/>
          <w:sz w:val="24"/>
        </w:rPr>
        <w:t>，</w:t>
      </w:r>
      <w:r>
        <w:rPr>
          <w:rFonts w:ascii="宋体" w:hAnsi="宋体" w:eastAsia="宋体"/>
          <w:sz w:val="24"/>
        </w:rPr>
        <w:t>可在学院公示期内向本学院研究生奖学金评审委员会提出书面申诉</w:t>
      </w:r>
      <w:r>
        <w:rPr>
          <w:rFonts w:ascii="Arial Unicode MS" w:hAnsi="Arial Unicode MS" w:eastAsia="Arial Unicode MS"/>
          <w:sz w:val="24"/>
        </w:rPr>
        <w:t>，</w:t>
      </w:r>
      <w:r>
        <w:rPr>
          <w:rFonts w:ascii="宋体" w:hAnsi="宋体" w:eastAsia="宋体"/>
          <w:sz w:val="24"/>
        </w:rPr>
        <w:t>评审委员会将及时研究并予以答复。</w:t>
      </w:r>
    </w:p>
    <w:p>
      <w:pPr>
        <w:spacing w:line="400" w:lineRule="exact"/>
        <w:ind w:left="480" w:right="4220"/>
        <w:rPr>
          <w:rFonts w:ascii="Arial Unicode MS" w:hAnsi="Arial Unicode MS" w:eastAsia="Arial Unicode MS"/>
          <w:sz w:val="23"/>
        </w:rPr>
      </w:pPr>
      <w:r>
        <w:rPr>
          <w:rFonts w:ascii="宋体" w:hAnsi="宋体" w:eastAsia="宋体"/>
          <w:sz w:val="24"/>
          <w:szCs w:val="24"/>
        </w:rPr>
        <w:t>申诉邮箱</w:t>
      </w:r>
      <w:r>
        <w:rPr>
          <w:rFonts w:ascii="Arial Unicode MS" w:hAnsi="Arial Unicode MS" w:eastAsia="Arial Unicode MS"/>
          <w:sz w:val="23"/>
        </w:rPr>
        <w:t>：</w:t>
      </w:r>
      <w:r>
        <w:rPr>
          <w:rFonts w:hint="eastAsia" w:ascii="宋体" w:hAnsi="宋体" w:eastAsia="宋体"/>
          <w:sz w:val="24"/>
        </w:rPr>
        <w:t>lj@uestc.edu.cn</w:t>
      </w:r>
    </w:p>
    <w:p>
      <w:pPr>
        <w:spacing w:line="400" w:lineRule="exact"/>
        <w:ind w:left="105" w:leftChars="50" w:right="3040" w:firstLine="360" w:firstLineChars="150"/>
        <w:rPr>
          <w:rFonts w:ascii="Times New Roman" w:hAnsi="Times New Roman" w:eastAsia="宋体" w:cs="Times New Roman"/>
          <w:sz w:val="24"/>
          <w:szCs w:val="24"/>
        </w:rPr>
      </w:pPr>
      <w:r>
        <w:rPr>
          <w:rFonts w:ascii="宋体" w:hAnsi="宋体" w:eastAsia="宋体"/>
          <w:sz w:val="24"/>
          <w:szCs w:val="24"/>
        </w:rPr>
        <w:t>联系电话</w:t>
      </w:r>
      <w:r>
        <w:rPr>
          <w:rFonts w:ascii="Arial Unicode MS" w:hAnsi="Arial Unicode MS" w:eastAsia="Arial Unicode MS"/>
          <w:sz w:val="24"/>
          <w:szCs w:val="24"/>
        </w:rPr>
        <w:t>：</w:t>
      </w:r>
      <w:r>
        <w:rPr>
          <w:rFonts w:eastAsia="Arial" w:cs="Times New Roman"/>
          <w:sz w:val="24"/>
          <w:szCs w:val="24"/>
        </w:rPr>
        <w:t>028-61830062</w:t>
      </w:r>
      <w:r>
        <w:rPr>
          <w:rFonts w:hint="eastAsia" w:eastAsia="宋体" w:cs="Times New Roman"/>
          <w:sz w:val="24"/>
          <w:szCs w:val="24"/>
        </w:rPr>
        <w:t xml:space="preserve">  61830019</w:t>
      </w:r>
    </w:p>
    <w:p>
      <w:pPr>
        <w:spacing w:line="400" w:lineRule="exact"/>
        <w:rPr>
          <w:rFonts w:ascii="Arial Unicode MS" w:hAnsi="Arial Unicode MS" w:eastAsia="Arial Unicode MS"/>
          <w:sz w:val="24"/>
          <w:szCs w:val="24"/>
        </w:rPr>
      </w:pPr>
      <w:r>
        <w:rPr>
          <w:rFonts w:hint="eastAsia" w:ascii="宋体" w:hAnsi="宋体" w:eastAsia="宋体"/>
          <w:b/>
          <w:bCs/>
          <w:sz w:val="24"/>
          <w:szCs w:val="24"/>
        </w:rPr>
        <w:t>八</w:t>
      </w:r>
      <w:r>
        <w:rPr>
          <w:rFonts w:ascii="宋体" w:hAnsi="宋体" w:eastAsia="宋体"/>
          <w:b/>
          <w:bCs/>
          <w:sz w:val="24"/>
          <w:szCs w:val="24"/>
        </w:rPr>
        <w:t>、奖学金评定详细办法</w:t>
      </w:r>
      <w:r>
        <w:rPr>
          <w:rFonts w:ascii="Arial Unicode MS" w:hAnsi="Arial Unicode MS" w:eastAsia="Arial Unicode MS"/>
          <w:b/>
          <w:bCs/>
          <w:sz w:val="24"/>
          <w:szCs w:val="24"/>
        </w:rPr>
        <w:t>（</w:t>
      </w:r>
      <w:r>
        <w:rPr>
          <w:rFonts w:ascii="宋体" w:hAnsi="宋体" w:eastAsia="宋体"/>
          <w:b/>
          <w:bCs/>
          <w:sz w:val="24"/>
          <w:szCs w:val="24"/>
        </w:rPr>
        <w:t>见附件</w:t>
      </w:r>
      <w:r>
        <w:rPr>
          <w:rFonts w:ascii="Arial Unicode MS" w:hAnsi="Arial Unicode MS" w:eastAsia="Arial Unicode MS"/>
          <w:b/>
          <w:bCs/>
          <w:sz w:val="24"/>
          <w:szCs w:val="24"/>
        </w:rPr>
        <w:t>）</w:t>
      </w:r>
    </w:p>
    <w:p>
      <w:pPr>
        <w:spacing w:line="400" w:lineRule="exact"/>
        <w:ind w:left="480"/>
        <w:rPr>
          <w:rFonts w:ascii="宋体" w:hAnsi="宋体" w:eastAsia="宋体"/>
          <w:szCs w:val="21"/>
        </w:rPr>
      </w:pPr>
      <w:r>
        <w:rPr>
          <w:rFonts w:ascii="宋体" w:hAnsi="宋体" w:eastAsia="宋体"/>
          <w:szCs w:val="21"/>
        </w:rPr>
        <w:t>附件</w:t>
      </w:r>
      <w:r>
        <w:rPr>
          <w:rFonts w:hint="eastAsia" w:ascii="宋体" w:hAnsi="宋体" w:eastAsia="宋体"/>
          <w:szCs w:val="21"/>
        </w:rPr>
        <w:t>1：经济与管理学院研究生国家奖学金评定办法</w:t>
      </w:r>
    </w:p>
    <w:p>
      <w:pPr>
        <w:spacing w:line="400" w:lineRule="exact"/>
        <w:ind w:left="480"/>
        <w:rPr>
          <w:rFonts w:ascii="宋体" w:hAnsi="宋体" w:eastAsia="宋体"/>
          <w:szCs w:val="21"/>
        </w:rPr>
      </w:pPr>
      <w:r>
        <w:rPr>
          <w:rFonts w:ascii="宋体" w:hAnsi="宋体" w:eastAsia="宋体"/>
          <w:szCs w:val="21"/>
        </w:rPr>
        <w:t>附件2：电子科技大学经济与管理学院研究生</w:t>
      </w:r>
      <w:r>
        <w:rPr>
          <w:rFonts w:hint="eastAsia" w:ascii="宋体" w:hAnsi="宋体" w:eastAsia="宋体"/>
          <w:szCs w:val="21"/>
        </w:rPr>
        <w:t>专场答辩会</w:t>
      </w:r>
      <w:r>
        <w:rPr>
          <w:rFonts w:ascii="宋体" w:hAnsi="宋体" w:eastAsia="宋体"/>
          <w:szCs w:val="21"/>
        </w:rPr>
        <w:t>答辩评分依据</w:t>
      </w:r>
    </w:p>
    <w:p>
      <w:pPr>
        <w:spacing w:line="400" w:lineRule="exact"/>
        <w:ind w:left="480"/>
        <w:rPr>
          <w:rFonts w:ascii="宋体" w:hAnsi="宋体" w:eastAsia="宋体"/>
          <w:szCs w:val="21"/>
        </w:rPr>
      </w:pPr>
      <w:r>
        <w:rPr>
          <w:rFonts w:ascii="宋体" w:hAnsi="宋体" w:eastAsia="宋体"/>
          <w:szCs w:val="21"/>
        </w:rPr>
        <w:t>附件3：电子科技大学经济与管理学院研究生专场答辩会评委打分表</w:t>
      </w:r>
    </w:p>
    <w:p>
      <w:pPr>
        <w:spacing w:line="400" w:lineRule="exact"/>
        <w:ind w:left="480"/>
        <w:rPr>
          <w:rFonts w:ascii="宋体" w:hAnsi="宋体" w:eastAsia="宋体"/>
          <w:szCs w:val="21"/>
        </w:rPr>
      </w:pPr>
      <w:r>
        <w:rPr>
          <w:rFonts w:ascii="宋体" w:hAnsi="宋体" w:eastAsia="宋体"/>
          <w:szCs w:val="21"/>
        </w:rPr>
        <w:t>附件4：电子科技大学经济与管理学院研究生专场答辩会评委打分汇总表</w:t>
      </w:r>
    </w:p>
    <w:p>
      <w:pPr>
        <w:spacing w:line="400" w:lineRule="exact"/>
        <w:ind w:left="480"/>
        <w:rPr>
          <w:rFonts w:ascii="宋体" w:hAnsi="宋体" w:eastAsia="宋体"/>
          <w:szCs w:val="21"/>
        </w:rPr>
      </w:pPr>
      <w:r>
        <w:rPr>
          <w:rFonts w:ascii="宋体" w:hAnsi="宋体" w:eastAsia="宋体"/>
          <w:szCs w:val="21"/>
        </w:rPr>
        <w:t>附件5：电子科技大学经济与管理学院研究生专场答辩会获奖拟推荐名单表</w:t>
      </w:r>
    </w:p>
    <w:p>
      <w:pPr>
        <w:spacing w:line="400" w:lineRule="exact"/>
        <w:rPr>
          <w:rFonts w:ascii="宋体" w:hAnsi="宋体" w:eastAsia="宋体"/>
          <w:b/>
          <w:bCs/>
          <w:sz w:val="28"/>
          <w:szCs w:val="28"/>
        </w:rPr>
      </w:pPr>
      <w:r>
        <w:rPr>
          <w:rFonts w:hint="eastAsia" w:ascii="宋体" w:hAnsi="宋体" w:eastAsia="宋体"/>
          <w:b/>
          <w:bCs/>
          <w:sz w:val="24"/>
          <w:szCs w:val="24"/>
        </w:rPr>
        <w:t>九</w:t>
      </w:r>
      <w:r>
        <w:rPr>
          <w:rFonts w:ascii="宋体" w:hAnsi="宋体" w:eastAsia="宋体"/>
          <w:b/>
          <w:bCs/>
          <w:sz w:val="24"/>
          <w:szCs w:val="24"/>
        </w:rPr>
        <w:t>、本细则由电子科技大学</w:t>
      </w:r>
      <w:r>
        <w:rPr>
          <w:rFonts w:hint="eastAsia" w:ascii="宋体" w:hAnsi="宋体" w:eastAsia="宋体"/>
          <w:b/>
          <w:bCs/>
          <w:sz w:val="24"/>
          <w:szCs w:val="24"/>
        </w:rPr>
        <w:t>经济与</w:t>
      </w:r>
      <w:r>
        <w:rPr>
          <w:rFonts w:ascii="宋体" w:hAnsi="宋体" w:eastAsia="宋体"/>
          <w:b/>
          <w:bCs/>
          <w:sz w:val="24"/>
          <w:szCs w:val="24"/>
        </w:rPr>
        <w:t>管理学院研究生奖学金评审委员会负责解释</w:t>
      </w:r>
      <w:r>
        <w:rPr>
          <w:rFonts w:ascii="宋体" w:hAnsi="宋体" w:eastAsia="宋体"/>
          <w:b/>
          <w:bCs/>
          <w:sz w:val="28"/>
          <w:szCs w:val="28"/>
        </w:rPr>
        <w:t>。</w:t>
      </w:r>
    </w:p>
    <w:p>
      <w:pPr>
        <w:spacing w:line="480" w:lineRule="auto"/>
        <w:rPr>
          <w:rFonts w:ascii="Times New Roman" w:hAnsi="Times New Roman"/>
        </w:rPr>
      </w:pPr>
    </w:p>
    <w:p>
      <w:pPr>
        <w:spacing w:line="480" w:lineRule="auto"/>
        <w:jc w:val="right"/>
        <w:rPr>
          <w:rFonts w:ascii="宋体" w:hAnsi="宋体" w:eastAsia="宋体"/>
          <w:b/>
          <w:sz w:val="24"/>
        </w:rPr>
      </w:pPr>
    </w:p>
    <w:p>
      <w:pPr>
        <w:spacing w:line="480" w:lineRule="auto"/>
        <w:jc w:val="right"/>
        <w:rPr>
          <w:rFonts w:ascii="宋体" w:hAnsi="宋体" w:eastAsia="宋体"/>
          <w:b/>
          <w:sz w:val="24"/>
        </w:rPr>
      </w:pPr>
      <w:r>
        <w:rPr>
          <w:rFonts w:hint="eastAsia" w:ascii="宋体" w:hAnsi="宋体" w:eastAsia="宋体"/>
          <w:b/>
          <w:sz w:val="24"/>
        </w:rPr>
        <w:t>经济</w:t>
      </w:r>
      <w:r>
        <w:rPr>
          <w:rFonts w:ascii="宋体" w:hAnsi="宋体" w:eastAsia="宋体"/>
          <w:b/>
          <w:sz w:val="24"/>
        </w:rPr>
        <w:t>与管理学院</w:t>
      </w:r>
    </w:p>
    <w:p>
      <w:pPr>
        <w:spacing w:line="480" w:lineRule="auto"/>
        <w:ind w:right="241"/>
        <w:jc w:val="right"/>
        <w:rPr>
          <w:rFonts w:ascii="宋体" w:hAnsi="宋体" w:eastAsia="宋体"/>
          <w:b/>
          <w:sz w:val="24"/>
        </w:rPr>
      </w:pPr>
      <w:r>
        <w:rPr>
          <w:rFonts w:hint="eastAsia" w:ascii="宋体" w:hAnsi="宋体" w:eastAsia="宋体"/>
          <w:b/>
          <w:sz w:val="24"/>
        </w:rPr>
        <w:t>20</w:t>
      </w:r>
      <w:r>
        <w:rPr>
          <w:rFonts w:hint="eastAsia" w:ascii="宋体" w:hAnsi="宋体" w:eastAsia="宋体"/>
          <w:b/>
          <w:sz w:val="24"/>
          <w:lang w:val="en-US" w:eastAsia="zh-CN"/>
        </w:rPr>
        <w:t>21</w:t>
      </w:r>
      <w:r>
        <w:rPr>
          <w:rFonts w:hint="eastAsia" w:ascii="宋体" w:hAnsi="宋体" w:eastAsia="宋体"/>
          <w:b/>
          <w:sz w:val="24"/>
        </w:rPr>
        <w:t>年</w:t>
      </w:r>
      <w:r>
        <w:rPr>
          <w:rFonts w:hint="eastAsia" w:ascii="宋体" w:hAnsi="宋体" w:eastAsia="宋体"/>
          <w:b/>
          <w:sz w:val="24"/>
          <w:lang w:val="en-US" w:eastAsia="zh-CN"/>
        </w:rPr>
        <w:t>01</w:t>
      </w:r>
      <w:r>
        <w:rPr>
          <w:rFonts w:ascii="宋体" w:hAnsi="宋体" w:eastAsia="宋体"/>
          <w:b/>
          <w:sz w:val="24"/>
        </w:rPr>
        <w:t>月</w:t>
      </w:r>
    </w:p>
    <w:p>
      <w:pPr>
        <w:spacing w:line="480" w:lineRule="auto"/>
        <w:jc w:val="right"/>
        <w:rPr>
          <w:rFonts w:ascii="宋体" w:hAnsi="宋体" w:eastAsia="宋体"/>
          <w:b/>
          <w:sz w:val="24"/>
        </w:rPr>
        <w:sectPr>
          <w:pgSz w:w="11900" w:h="16838"/>
          <w:pgMar w:top="1390" w:right="1800" w:bottom="1440" w:left="1800" w:header="0" w:footer="0" w:gutter="0"/>
          <w:cols w:equalWidth="0" w:num="1">
            <w:col w:w="8300"/>
          </w:cols>
          <w:docGrid w:linePitch="360" w:charSpace="0"/>
        </w:sectPr>
      </w:pPr>
    </w:p>
    <w:p>
      <w:pPr>
        <w:spacing w:line="360" w:lineRule="auto"/>
      </w:pPr>
      <w:r>
        <w:rPr>
          <w:rFonts w:hint="eastAsia"/>
          <w:b/>
        </w:rPr>
        <w:t>附件1</w:t>
      </w:r>
      <w:r>
        <w:rPr>
          <w:rFonts w:hint="eastAsia"/>
        </w:rPr>
        <w:t>：</w:t>
      </w:r>
    </w:p>
    <w:p>
      <w:pPr>
        <w:spacing w:line="360" w:lineRule="auto"/>
        <w:jc w:val="center"/>
        <w:rPr>
          <w:rFonts w:eastAsia="黑体"/>
          <w:sz w:val="32"/>
          <w:szCs w:val="32"/>
        </w:rPr>
      </w:pPr>
      <w:r>
        <w:rPr>
          <w:rFonts w:hint="eastAsia" w:eastAsia="黑体"/>
          <w:sz w:val="32"/>
          <w:szCs w:val="32"/>
        </w:rPr>
        <w:t>经济与管理学院研究生国家奖学金评定办法</w:t>
      </w:r>
    </w:p>
    <w:p>
      <w:pPr>
        <w:numPr>
          <w:ilvl w:val="0"/>
          <w:numId w:val="4"/>
        </w:numPr>
        <w:spacing w:before="156" w:beforeLines="50" w:after="156" w:afterLines="50" w:line="400" w:lineRule="exact"/>
        <w:ind w:firstLine="482" w:firstLineChars="200"/>
        <w:rPr>
          <w:rFonts w:asciiTheme="minorEastAsia" w:hAnsiTheme="minorEastAsia"/>
          <w:b/>
          <w:bCs/>
          <w:sz w:val="24"/>
          <w:szCs w:val="24"/>
        </w:rPr>
      </w:pPr>
      <w:r>
        <w:rPr>
          <w:rFonts w:hint="eastAsia" w:asciiTheme="minorEastAsia" w:hAnsiTheme="minorEastAsia"/>
          <w:b/>
          <w:bCs/>
          <w:sz w:val="24"/>
          <w:szCs w:val="24"/>
        </w:rPr>
        <w:t>评定范围和奖励标准</w:t>
      </w:r>
    </w:p>
    <w:p>
      <w:pPr>
        <w:spacing w:before="156" w:beforeLines="50" w:after="156" w:afterLines="50" w:line="400" w:lineRule="exact"/>
        <w:ind w:firstLine="482" w:firstLineChars="200"/>
        <w:rPr>
          <w:rFonts w:asciiTheme="minorEastAsia" w:hAnsiTheme="minorEastAsia"/>
          <w:b/>
          <w:bCs/>
          <w:sz w:val="24"/>
          <w:szCs w:val="24"/>
        </w:rPr>
      </w:pPr>
      <w:r>
        <w:rPr>
          <w:rFonts w:hint="eastAsia" w:asciiTheme="minorEastAsia" w:hAnsiTheme="minorEastAsia"/>
          <w:b/>
          <w:bCs/>
          <w:sz w:val="24"/>
          <w:szCs w:val="24"/>
        </w:rPr>
        <w:t>评选范围：</w:t>
      </w:r>
      <w:r>
        <w:rPr>
          <w:rFonts w:hint="eastAsia" w:asciiTheme="minorEastAsia" w:hAnsiTheme="minorEastAsia"/>
          <w:bCs/>
          <w:sz w:val="24"/>
          <w:szCs w:val="24"/>
        </w:rPr>
        <w:t>在科研、创新、或社会实践方面有突出成绩的自筹硕士</w:t>
      </w:r>
      <w:r>
        <w:rPr>
          <w:rFonts w:asciiTheme="minorEastAsia" w:hAnsiTheme="minorEastAsia"/>
          <w:bCs/>
          <w:sz w:val="24"/>
          <w:szCs w:val="24"/>
        </w:rPr>
        <w:t>和</w:t>
      </w:r>
      <w:r>
        <w:rPr>
          <w:rFonts w:hint="eastAsia" w:asciiTheme="minorEastAsia" w:hAnsiTheme="minorEastAsia"/>
          <w:bCs/>
          <w:sz w:val="24"/>
          <w:szCs w:val="24"/>
        </w:rPr>
        <w:t>博士研究生。</w:t>
      </w:r>
    </w:p>
    <w:p>
      <w:pPr>
        <w:spacing w:before="156" w:beforeLines="50" w:after="156" w:afterLines="50" w:line="400" w:lineRule="exact"/>
        <w:ind w:firstLine="482" w:firstLineChars="200"/>
        <w:rPr>
          <w:rFonts w:asciiTheme="minorEastAsia" w:hAnsiTheme="minorEastAsia"/>
          <w:bCs/>
          <w:sz w:val="24"/>
          <w:szCs w:val="24"/>
        </w:rPr>
      </w:pPr>
      <w:r>
        <w:rPr>
          <w:rFonts w:hint="eastAsia" w:asciiTheme="minorEastAsia" w:hAnsiTheme="minorEastAsia"/>
          <w:b/>
          <w:bCs/>
          <w:sz w:val="24"/>
          <w:szCs w:val="24"/>
        </w:rPr>
        <w:t>奖励标准：</w:t>
      </w:r>
      <w:r>
        <w:rPr>
          <w:rFonts w:asciiTheme="minorEastAsia" w:hAnsiTheme="minorEastAsia"/>
          <w:bCs/>
          <w:sz w:val="24"/>
          <w:szCs w:val="24"/>
        </w:rPr>
        <w:t>博士研究生奖励标准为3万元</w:t>
      </w:r>
      <w:r>
        <w:rPr>
          <w:rFonts w:hint="eastAsia" w:asciiTheme="minorEastAsia" w:hAnsiTheme="minorEastAsia"/>
          <w:bCs/>
          <w:sz w:val="24"/>
          <w:szCs w:val="24"/>
        </w:rPr>
        <w:t>/人</w:t>
      </w:r>
      <w:r>
        <w:rPr>
          <w:rFonts w:asciiTheme="minorEastAsia" w:hAnsiTheme="minorEastAsia"/>
          <w:bCs/>
          <w:sz w:val="24"/>
          <w:szCs w:val="24"/>
        </w:rPr>
        <w:t>；硕士研究生奖励标准为2万元</w:t>
      </w:r>
      <w:r>
        <w:rPr>
          <w:rFonts w:hint="eastAsia" w:asciiTheme="minorEastAsia" w:hAnsiTheme="minorEastAsia"/>
          <w:bCs/>
          <w:sz w:val="24"/>
          <w:szCs w:val="24"/>
        </w:rPr>
        <w:t>/人</w:t>
      </w:r>
      <w:r>
        <w:rPr>
          <w:rFonts w:asciiTheme="minorEastAsia" w:hAnsiTheme="minorEastAsia"/>
          <w:bCs/>
          <w:sz w:val="24"/>
          <w:szCs w:val="24"/>
        </w:rPr>
        <w:t>。</w:t>
      </w:r>
    </w:p>
    <w:p>
      <w:pPr>
        <w:numPr>
          <w:ilvl w:val="0"/>
          <w:numId w:val="4"/>
        </w:numPr>
        <w:spacing w:before="156" w:beforeLines="50" w:after="156" w:afterLines="50" w:line="400" w:lineRule="exact"/>
        <w:ind w:firstLine="482" w:firstLineChars="200"/>
        <w:rPr>
          <w:rFonts w:asciiTheme="minorEastAsia" w:hAnsiTheme="minorEastAsia"/>
          <w:bCs/>
          <w:sz w:val="24"/>
          <w:szCs w:val="24"/>
        </w:rPr>
      </w:pPr>
      <w:r>
        <w:rPr>
          <w:rFonts w:hint="eastAsia" w:asciiTheme="minorEastAsia" w:hAnsiTheme="minorEastAsia"/>
          <w:b/>
          <w:bCs/>
          <w:sz w:val="24"/>
          <w:szCs w:val="24"/>
        </w:rPr>
        <w:t>评定办法</w:t>
      </w:r>
    </w:p>
    <w:p>
      <w:pPr>
        <w:spacing w:line="400" w:lineRule="exact"/>
        <w:ind w:firstLine="480" w:firstLineChars="200"/>
        <w:rPr>
          <w:rFonts w:asciiTheme="minorEastAsia" w:hAnsiTheme="minorEastAsia"/>
          <w:bCs/>
          <w:sz w:val="24"/>
          <w:szCs w:val="24"/>
        </w:rPr>
      </w:pPr>
      <w:r>
        <w:rPr>
          <w:rFonts w:hint="eastAsia" w:asciiTheme="minorEastAsia" w:hAnsiTheme="minorEastAsia"/>
          <w:bCs/>
          <w:sz w:val="24"/>
          <w:szCs w:val="24"/>
        </w:rPr>
        <w:t>1.</w:t>
      </w:r>
      <w:r>
        <w:rPr>
          <w:rFonts w:asciiTheme="minorEastAsia" w:hAnsiTheme="minorEastAsia"/>
          <w:bCs/>
          <w:sz w:val="24"/>
          <w:szCs w:val="24"/>
        </w:rPr>
        <w:t xml:space="preserve"> </w:t>
      </w:r>
      <w:r>
        <w:rPr>
          <w:rFonts w:hint="eastAsia" w:asciiTheme="minorEastAsia" w:hAnsiTheme="minorEastAsia"/>
          <w:bCs/>
          <w:sz w:val="24"/>
          <w:szCs w:val="24"/>
        </w:rPr>
        <w:t>学业奖学金是评选国家奖学金的重要参考依据。</w:t>
      </w:r>
    </w:p>
    <w:p>
      <w:pPr>
        <w:spacing w:line="400" w:lineRule="exact"/>
        <w:ind w:firstLine="480" w:firstLineChars="200"/>
        <w:rPr>
          <w:rFonts w:asciiTheme="minorEastAsia" w:hAnsiTheme="minorEastAsia"/>
          <w:bCs/>
          <w:sz w:val="24"/>
          <w:szCs w:val="24"/>
        </w:rPr>
      </w:pPr>
      <w:r>
        <w:rPr>
          <w:rFonts w:hint="eastAsia" w:asciiTheme="minorEastAsia" w:hAnsiTheme="minorEastAsia"/>
          <w:bCs/>
          <w:sz w:val="24"/>
          <w:szCs w:val="24"/>
        </w:rPr>
        <w:t>2. 在各评定单位学业奖学金基础上，学院研究生科统一组织“专场奖学金答辩会”。答辩会参加对象包含各评定单位推荐参加国家奖学金答辩硕士研究生和博士研究生。学院成立答辩评审专家小组，根据“专场奖学金答辩会”结果确定本年度博士研究生和硕士研究生国家奖学金的最终排名。</w:t>
      </w:r>
    </w:p>
    <w:p>
      <w:pPr>
        <w:spacing w:line="400" w:lineRule="exact"/>
        <w:ind w:firstLine="480" w:firstLineChars="200"/>
        <w:rPr>
          <w:rFonts w:asciiTheme="minorEastAsia" w:hAnsiTheme="minorEastAsia"/>
          <w:bCs/>
          <w:sz w:val="24"/>
          <w:szCs w:val="24"/>
        </w:rPr>
      </w:pPr>
      <w:r>
        <w:rPr>
          <w:rFonts w:hint="eastAsia" w:asciiTheme="minorEastAsia" w:hAnsiTheme="minorEastAsia"/>
          <w:bCs/>
          <w:sz w:val="24"/>
          <w:szCs w:val="24"/>
        </w:rPr>
        <w:t>3．学院奖学金评审委员会及答辩评审小组成立原则：</w:t>
      </w:r>
    </w:p>
    <w:p>
      <w:pPr>
        <w:pStyle w:val="10"/>
        <w:spacing w:line="400" w:lineRule="exact"/>
        <w:ind w:firstLine="0" w:firstLineChars="0"/>
        <w:rPr>
          <w:rFonts w:asciiTheme="minorEastAsia" w:hAnsiTheme="minorEastAsia"/>
          <w:bCs/>
          <w:sz w:val="24"/>
          <w:szCs w:val="24"/>
        </w:rPr>
      </w:pPr>
      <w:r>
        <w:rPr>
          <w:rFonts w:hint="eastAsia" w:asciiTheme="minorEastAsia" w:hAnsiTheme="minorEastAsia"/>
          <w:bCs/>
          <w:sz w:val="24"/>
          <w:szCs w:val="24"/>
        </w:rPr>
        <w:t>（1）评审委员会由学院领导、有一级学科硕士点的系主任或副系主任、以学位评定分委员会委员为主的教授代表、研究生科老师和学生代表组成。</w:t>
      </w:r>
    </w:p>
    <w:p>
      <w:pPr>
        <w:pStyle w:val="10"/>
        <w:spacing w:line="400" w:lineRule="exact"/>
        <w:ind w:firstLine="0" w:firstLineChars="0"/>
        <w:rPr>
          <w:rFonts w:asciiTheme="minorEastAsia" w:hAnsiTheme="minorEastAsia"/>
          <w:bCs/>
          <w:sz w:val="24"/>
          <w:szCs w:val="24"/>
        </w:rPr>
      </w:pPr>
      <w:r>
        <w:rPr>
          <w:rFonts w:hint="eastAsia" w:asciiTheme="minorEastAsia" w:hAnsiTheme="minorEastAsia"/>
          <w:bCs/>
          <w:sz w:val="24"/>
          <w:szCs w:val="24"/>
        </w:rPr>
        <w:t>（2）答辩评审专家小组人数为奇数，各系不少于两名，并采用回避原则。</w:t>
      </w:r>
    </w:p>
    <w:p>
      <w:pPr>
        <w:pStyle w:val="10"/>
        <w:spacing w:line="400" w:lineRule="exact"/>
        <w:ind w:firstLine="0" w:firstLineChars="0"/>
        <w:rPr>
          <w:rFonts w:cs="宋体" w:asciiTheme="minorEastAsia" w:hAnsiTheme="minorEastAsia"/>
          <w:sz w:val="24"/>
          <w:szCs w:val="24"/>
        </w:rPr>
      </w:pPr>
      <w:r>
        <w:rPr>
          <w:rFonts w:hint="eastAsia" w:cs="宋体" w:asciiTheme="minorEastAsia" w:hAnsiTheme="minorEastAsia"/>
          <w:sz w:val="24"/>
          <w:szCs w:val="24"/>
        </w:rPr>
        <w:t>（3）</w:t>
      </w:r>
      <w:r>
        <w:rPr>
          <w:rFonts w:hint="eastAsia" w:asciiTheme="minorEastAsia" w:hAnsiTheme="minorEastAsia"/>
          <w:bCs/>
          <w:sz w:val="24"/>
          <w:szCs w:val="24"/>
        </w:rPr>
        <w:t>答辩评审专家小组</w:t>
      </w:r>
      <w:r>
        <w:rPr>
          <w:rFonts w:hint="eastAsia" w:cs="宋体" w:asciiTheme="minorEastAsia" w:hAnsiTheme="minorEastAsia"/>
          <w:sz w:val="24"/>
          <w:szCs w:val="24"/>
        </w:rPr>
        <w:t>名单将在“专场奖学金答辩会”前公布。</w:t>
      </w:r>
    </w:p>
    <w:p>
      <w:pPr>
        <w:pStyle w:val="10"/>
        <w:spacing w:line="400" w:lineRule="exact"/>
        <w:ind w:firstLine="480"/>
        <w:rPr>
          <w:rFonts w:asciiTheme="minorEastAsia" w:hAnsiTheme="minorEastAsia"/>
          <w:bCs/>
          <w:sz w:val="24"/>
          <w:szCs w:val="24"/>
          <w:highlight w:val="lightGray"/>
        </w:rPr>
      </w:pPr>
      <w:r>
        <w:rPr>
          <w:rFonts w:hint="eastAsia" w:asciiTheme="minorEastAsia" w:hAnsiTheme="minorEastAsia"/>
          <w:bCs/>
          <w:sz w:val="24"/>
          <w:szCs w:val="24"/>
        </w:rPr>
        <w:t>4.具体根据当年学校下发的奖学金评定通知开展相关工作，如有特殊情况，由学院奖学金评审委员会决议处理。</w:t>
      </w:r>
    </w:p>
    <w:p>
      <w:pPr>
        <w:spacing w:before="156" w:beforeLines="50" w:after="156" w:afterLines="50" w:line="400" w:lineRule="exact"/>
        <w:ind w:firstLine="361" w:firstLineChars="150"/>
        <w:rPr>
          <w:rFonts w:asciiTheme="minorEastAsia" w:hAnsiTheme="minorEastAsia"/>
          <w:b/>
          <w:bCs/>
          <w:sz w:val="24"/>
          <w:szCs w:val="24"/>
        </w:rPr>
      </w:pPr>
      <w:r>
        <w:rPr>
          <w:rFonts w:hint="eastAsia" w:asciiTheme="minorEastAsia" w:hAnsiTheme="minorEastAsia"/>
          <w:b/>
          <w:bCs/>
          <w:sz w:val="24"/>
          <w:szCs w:val="24"/>
        </w:rPr>
        <w:t>三、评定方式和</w:t>
      </w:r>
      <w:r>
        <w:rPr>
          <w:rFonts w:asciiTheme="minorEastAsia" w:hAnsiTheme="minorEastAsia"/>
          <w:b/>
          <w:bCs/>
          <w:sz w:val="24"/>
          <w:szCs w:val="24"/>
        </w:rPr>
        <w:t>排名</w:t>
      </w:r>
    </w:p>
    <w:p>
      <w:pPr>
        <w:spacing w:line="400" w:lineRule="exact"/>
        <w:ind w:firstLine="480" w:firstLineChars="200"/>
        <w:rPr>
          <w:rFonts w:asciiTheme="minorEastAsia" w:hAnsiTheme="minorEastAsia"/>
          <w:bCs/>
          <w:sz w:val="24"/>
          <w:szCs w:val="24"/>
        </w:rPr>
      </w:pPr>
      <w:r>
        <w:rPr>
          <w:rFonts w:hint="eastAsia" w:asciiTheme="minorEastAsia" w:hAnsiTheme="minorEastAsia"/>
          <w:bCs/>
          <w:sz w:val="24"/>
          <w:szCs w:val="24"/>
        </w:rPr>
        <w:t>学院成立奖学金评审委员会，各评定单位根据当年学业奖学金排序结果，以及当年申请国家奖学金的其它年级（即一年级硕士研究生、一或四年级博士研究生）的申请材料等，综合考虑，推荐参加“专场奖学金答辩会”；答辩评审专家根据现场答辩情况采用无记名投票或打分等方式确定国家奖学金的最终排名，并严格按照学校下发名额，按照从高到低的原则进行推荐。</w:t>
      </w:r>
    </w:p>
    <w:p>
      <w:pPr>
        <w:spacing w:line="400" w:lineRule="exact"/>
        <w:ind w:firstLine="480" w:firstLineChars="200"/>
        <w:rPr>
          <w:rFonts w:asciiTheme="minorEastAsia" w:hAnsiTheme="minorEastAsia"/>
          <w:bCs/>
          <w:color w:val="FF0000"/>
          <w:sz w:val="24"/>
          <w:szCs w:val="24"/>
        </w:rPr>
      </w:pPr>
      <w:r>
        <w:rPr>
          <w:rFonts w:hint="eastAsia" w:asciiTheme="minorEastAsia" w:hAnsiTheme="minorEastAsia"/>
          <w:bCs/>
          <w:sz w:val="24"/>
          <w:szCs w:val="24"/>
        </w:rPr>
        <w:t>评委采用无记名投票或打分等方式，考察更倾向于研究生研究成果、研究状态、研究潜力等。</w:t>
      </w:r>
    </w:p>
    <w:p>
      <w:pPr>
        <w:spacing w:line="400" w:lineRule="exact"/>
        <w:ind w:firstLine="482" w:firstLineChars="200"/>
        <w:rPr>
          <w:rFonts w:asciiTheme="minorEastAsia" w:hAnsiTheme="minorEastAsia"/>
          <w:b/>
          <w:bCs/>
          <w:sz w:val="24"/>
          <w:szCs w:val="24"/>
        </w:rPr>
      </w:pPr>
      <w:r>
        <w:rPr>
          <w:rFonts w:hint="eastAsia" w:asciiTheme="minorEastAsia" w:hAnsiTheme="minorEastAsia"/>
          <w:b/>
          <w:bCs/>
          <w:sz w:val="24"/>
          <w:szCs w:val="24"/>
        </w:rPr>
        <w:t>四</w:t>
      </w:r>
      <w:r>
        <w:rPr>
          <w:rFonts w:asciiTheme="minorEastAsia" w:hAnsiTheme="minorEastAsia"/>
          <w:b/>
          <w:bCs/>
          <w:sz w:val="24"/>
          <w:szCs w:val="24"/>
        </w:rPr>
        <w:t>、</w:t>
      </w:r>
      <w:r>
        <w:rPr>
          <w:rFonts w:hint="eastAsia" w:asciiTheme="minorEastAsia" w:hAnsiTheme="minorEastAsia"/>
          <w:b/>
          <w:bCs/>
          <w:sz w:val="24"/>
          <w:szCs w:val="24"/>
        </w:rPr>
        <w:t>评定</w:t>
      </w:r>
      <w:r>
        <w:rPr>
          <w:rFonts w:asciiTheme="minorEastAsia" w:hAnsiTheme="minorEastAsia"/>
          <w:b/>
          <w:bCs/>
          <w:sz w:val="24"/>
          <w:szCs w:val="24"/>
        </w:rPr>
        <w:t>程序</w:t>
      </w:r>
    </w:p>
    <w:p>
      <w:pPr>
        <w:spacing w:line="400" w:lineRule="exact"/>
        <w:ind w:firstLine="480" w:firstLineChars="200"/>
        <w:jc w:val="both"/>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．根据研究生院发放的通知，启动研究生国家奖学金评定工作。</w:t>
      </w:r>
    </w:p>
    <w:p>
      <w:pPr>
        <w:spacing w:line="400" w:lineRule="exact"/>
        <w:ind w:firstLine="480" w:firstLineChars="200"/>
        <w:jc w:val="both"/>
        <w:rPr>
          <w:rFonts w:asciiTheme="minorEastAsia" w:hAnsiTheme="minorEastAsia"/>
          <w:bCs/>
          <w:sz w:val="24"/>
          <w:szCs w:val="24"/>
        </w:rPr>
      </w:pPr>
      <w:r>
        <w:rPr>
          <w:rFonts w:asciiTheme="minorEastAsia" w:hAnsiTheme="minorEastAsia"/>
          <w:sz w:val="24"/>
          <w:szCs w:val="24"/>
        </w:rPr>
        <w:t xml:space="preserve">2. </w:t>
      </w:r>
      <w:r>
        <w:rPr>
          <w:rFonts w:hint="eastAsia" w:asciiTheme="minorEastAsia" w:hAnsiTheme="minorEastAsia"/>
          <w:sz w:val="24"/>
          <w:szCs w:val="24"/>
        </w:rPr>
        <w:t>学生下载并填写当年国家奖学金申请审批表，会同本人相关证明材料，书面版上报学院各评定单位。</w:t>
      </w:r>
    </w:p>
    <w:p>
      <w:pPr>
        <w:spacing w:line="400" w:lineRule="exact"/>
        <w:ind w:firstLine="480" w:firstLineChars="200"/>
        <w:jc w:val="both"/>
        <w:rPr>
          <w:rFonts w:asciiTheme="minorEastAsia" w:hAnsiTheme="minorEastAsia"/>
          <w:bCs/>
          <w:sz w:val="24"/>
          <w:szCs w:val="24"/>
        </w:rPr>
      </w:pPr>
      <w:r>
        <w:rPr>
          <w:rFonts w:asciiTheme="minorEastAsia" w:hAnsiTheme="minorEastAsia"/>
          <w:bCs/>
          <w:sz w:val="24"/>
          <w:szCs w:val="24"/>
        </w:rPr>
        <w:t xml:space="preserve">3. </w:t>
      </w:r>
      <w:r>
        <w:rPr>
          <w:rFonts w:hint="eastAsia" w:asciiTheme="minorEastAsia" w:hAnsiTheme="minorEastAsia"/>
          <w:bCs/>
          <w:sz w:val="24"/>
          <w:szCs w:val="24"/>
        </w:rPr>
        <w:t>被推荐人参加学院组织的“专场奖学金答辩会”</w:t>
      </w:r>
      <w:r>
        <w:rPr>
          <w:rFonts w:hint="eastAsia" w:asciiTheme="minorEastAsia" w:hAnsiTheme="minorEastAsia"/>
          <w:bCs/>
          <w:sz w:val="24"/>
          <w:szCs w:val="24"/>
          <w:lang w:eastAsia="zh-CN"/>
        </w:rPr>
        <w:t>，</w:t>
      </w:r>
      <w:r>
        <w:rPr>
          <w:rFonts w:hint="eastAsia" w:ascii="仿宋_GB2312"/>
          <w:b w:val="0"/>
          <w:bCs w:val="0"/>
          <w:sz w:val="24"/>
          <w:szCs w:val="28"/>
          <w:lang w:val="en-US" w:eastAsia="zh-CN"/>
        </w:rPr>
        <w:t>深圳高等研究院学生拟采用线上答辩方式</w:t>
      </w:r>
      <w:r>
        <w:rPr>
          <w:rFonts w:hint="eastAsia" w:asciiTheme="minorEastAsia" w:hAnsiTheme="minorEastAsia"/>
          <w:bCs/>
          <w:sz w:val="24"/>
          <w:szCs w:val="24"/>
        </w:rPr>
        <w:t>。</w:t>
      </w:r>
    </w:p>
    <w:p>
      <w:pPr>
        <w:spacing w:line="400" w:lineRule="exact"/>
        <w:ind w:firstLine="480" w:firstLineChars="200"/>
        <w:jc w:val="both"/>
        <w:rPr>
          <w:rFonts w:asciiTheme="minorEastAsia" w:hAnsiTheme="minorEastAsia"/>
          <w:bCs/>
          <w:sz w:val="24"/>
          <w:szCs w:val="24"/>
        </w:rPr>
      </w:pPr>
      <w:r>
        <w:rPr>
          <w:rFonts w:asciiTheme="minorEastAsia" w:hAnsiTheme="minorEastAsia"/>
          <w:sz w:val="24"/>
          <w:szCs w:val="24"/>
        </w:rPr>
        <w:t xml:space="preserve">4. </w:t>
      </w:r>
      <w:r>
        <w:rPr>
          <w:rFonts w:hint="eastAsia" w:asciiTheme="minorEastAsia" w:hAnsiTheme="minorEastAsia"/>
          <w:sz w:val="24"/>
          <w:szCs w:val="24"/>
        </w:rPr>
        <w:t>学院根据</w:t>
      </w:r>
      <w:r>
        <w:rPr>
          <w:rFonts w:hint="eastAsia" w:asciiTheme="minorEastAsia" w:hAnsiTheme="minorEastAsia"/>
          <w:bCs/>
          <w:sz w:val="24"/>
          <w:szCs w:val="24"/>
        </w:rPr>
        <w:t>“专场奖学金答辩会”结果确定并</w:t>
      </w:r>
      <w:r>
        <w:rPr>
          <w:rFonts w:hint="eastAsia" w:asciiTheme="minorEastAsia" w:hAnsiTheme="minorEastAsia"/>
          <w:sz w:val="24"/>
          <w:szCs w:val="24"/>
        </w:rPr>
        <w:t>公示初评名单。</w:t>
      </w:r>
    </w:p>
    <w:p>
      <w:pPr>
        <w:spacing w:line="400" w:lineRule="exact"/>
        <w:ind w:firstLine="480" w:firstLineChars="200"/>
        <w:jc w:val="both"/>
        <w:rPr>
          <w:rFonts w:asciiTheme="minorEastAsia" w:hAnsiTheme="minorEastAsia"/>
          <w:bCs/>
          <w:sz w:val="24"/>
          <w:szCs w:val="24"/>
        </w:rPr>
      </w:pPr>
      <w:r>
        <w:rPr>
          <w:rFonts w:asciiTheme="minorEastAsia" w:hAnsiTheme="minorEastAsia"/>
          <w:bCs/>
          <w:sz w:val="24"/>
          <w:szCs w:val="24"/>
        </w:rPr>
        <w:t xml:space="preserve">5. </w:t>
      </w:r>
      <w:r>
        <w:rPr>
          <w:rFonts w:hint="eastAsia" w:asciiTheme="minorEastAsia" w:hAnsiTheme="minorEastAsia"/>
          <w:sz w:val="24"/>
          <w:szCs w:val="24"/>
        </w:rPr>
        <w:t>将公示通过后的资料报送校研究生院。</w:t>
      </w:r>
    </w:p>
    <w:p>
      <w:pPr>
        <w:spacing w:line="400" w:lineRule="exact"/>
        <w:ind w:left="480"/>
        <w:rPr>
          <w:rFonts w:asciiTheme="minorEastAsia" w:hAnsiTheme="minorEastAsia"/>
          <w:b/>
          <w:sz w:val="24"/>
          <w:szCs w:val="24"/>
        </w:rPr>
      </w:pPr>
      <w:r>
        <w:rPr>
          <w:rFonts w:hint="eastAsia" w:asciiTheme="minorEastAsia" w:hAnsiTheme="minorEastAsia"/>
          <w:b/>
          <w:sz w:val="24"/>
          <w:szCs w:val="24"/>
        </w:rPr>
        <w:t>五、注意事项</w:t>
      </w:r>
    </w:p>
    <w:p>
      <w:pPr>
        <w:spacing w:line="400" w:lineRule="exact"/>
        <w:ind w:firstLine="480" w:firstLineChars="200"/>
        <w:rPr>
          <w:rFonts w:cs="宋体" w:asciiTheme="minorEastAsia" w:hAnsiTheme="minorEastAsia"/>
          <w:sz w:val="24"/>
          <w:szCs w:val="24"/>
        </w:rPr>
      </w:pPr>
      <w:r>
        <w:rPr>
          <w:rFonts w:asciiTheme="minorEastAsia" w:hAnsiTheme="minorEastAsia"/>
          <w:bCs/>
          <w:sz w:val="24"/>
          <w:szCs w:val="24"/>
        </w:rPr>
        <w:t xml:space="preserve">1. </w:t>
      </w:r>
      <w:r>
        <w:rPr>
          <w:rFonts w:cs="宋体" w:asciiTheme="minorEastAsia" w:hAnsiTheme="minorEastAsia"/>
          <w:sz w:val="24"/>
          <w:szCs w:val="24"/>
        </w:rPr>
        <w:t>研究生国家奖学金可以与研究生学业奖学金兼得。获得研究生国家奖学金的研究生原则上不再推荐参评研究生专项奖助学金，</w:t>
      </w:r>
      <w:r>
        <w:rPr>
          <w:rFonts w:hint="eastAsia" w:cs="宋体" w:asciiTheme="minorEastAsia" w:hAnsiTheme="minorEastAsia"/>
          <w:sz w:val="24"/>
          <w:szCs w:val="24"/>
        </w:rPr>
        <w:t>但</w:t>
      </w:r>
      <w:r>
        <w:rPr>
          <w:rFonts w:cs="宋体" w:asciiTheme="minorEastAsia" w:hAnsiTheme="minorEastAsia"/>
          <w:sz w:val="24"/>
          <w:szCs w:val="24"/>
        </w:rPr>
        <w:t>研究生专项奖助学金设奖者坚持可以兼得的除外。</w:t>
      </w:r>
    </w:p>
    <w:p>
      <w:pPr>
        <w:spacing w:line="400" w:lineRule="exact"/>
        <w:ind w:firstLine="480" w:firstLineChars="200"/>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w:t>
      </w:r>
      <w:r>
        <w:rPr>
          <w:rFonts w:asciiTheme="minorEastAsia" w:hAnsiTheme="minorEastAsia"/>
          <w:sz w:val="24"/>
          <w:szCs w:val="24"/>
        </w:rPr>
        <w:t>申报时请认真阅读申报条件，按要求</w:t>
      </w:r>
      <w:r>
        <w:rPr>
          <w:rFonts w:hint="eastAsia" w:asciiTheme="minorEastAsia" w:hAnsiTheme="minorEastAsia"/>
          <w:sz w:val="24"/>
          <w:szCs w:val="24"/>
        </w:rPr>
        <w:t>提交</w:t>
      </w:r>
      <w:r>
        <w:rPr>
          <w:rFonts w:asciiTheme="minorEastAsia" w:hAnsiTheme="minorEastAsia"/>
          <w:sz w:val="24"/>
          <w:szCs w:val="24"/>
        </w:rPr>
        <w:t>申报材料，并签订承诺书，如果发现材料不实，学校将取消获奖资格，并不再允许参与今后任何奖项的评审</w:t>
      </w:r>
      <w:r>
        <w:rPr>
          <w:rFonts w:hint="eastAsia" w:asciiTheme="minorEastAsia" w:hAnsiTheme="minorEastAsia"/>
          <w:sz w:val="24"/>
          <w:szCs w:val="24"/>
        </w:rPr>
        <w:t>。</w:t>
      </w:r>
    </w:p>
    <w:p>
      <w:pPr>
        <w:spacing w:line="480" w:lineRule="auto"/>
        <w:jc w:val="right"/>
        <w:rPr>
          <w:rFonts w:asciiTheme="minorEastAsia" w:hAnsiTheme="minorEastAsia"/>
          <w:b/>
          <w:bCs/>
          <w:sz w:val="24"/>
          <w:szCs w:val="24"/>
        </w:rPr>
      </w:pPr>
    </w:p>
    <w:p>
      <w:pPr>
        <w:spacing w:line="480" w:lineRule="auto"/>
        <w:ind w:firstLine="6462" w:firstLineChars="2682"/>
        <w:rPr>
          <w:rFonts w:asciiTheme="minorEastAsia" w:hAnsiTheme="minorEastAsia"/>
          <w:b/>
          <w:bCs/>
          <w:sz w:val="24"/>
          <w:szCs w:val="24"/>
        </w:rPr>
      </w:pPr>
    </w:p>
    <w:p>
      <w:pPr>
        <w:spacing w:line="480" w:lineRule="auto"/>
        <w:ind w:firstLine="6462" w:firstLineChars="2682"/>
        <w:rPr>
          <w:rFonts w:ascii="宋体" w:hAnsi="宋体" w:eastAsia="宋体"/>
          <w:b/>
          <w:sz w:val="24"/>
        </w:rPr>
      </w:pPr>
      <w:r>
        <w:rPr>
          <w:rFonts w:hint="eastAsia" w:ascii="宋体" w:hAnsi="宋体" w:eastAsia="宋体"/>
          <w:b/>
          <w:sz w:val="24"/>
        </w:rPr>
        <w:t>经济</w:t>
      </w:r>
      <w:r>
        <w:rPr>
          <w:rFonts w:ascii="宋体" w:hAnsi="宋体" w:eastAsia="宋体"/>
          <w:b/>
          <w:sz w:val="24"/>
        </w:rPr>
        <w:t>与管理学院</w:t>
      </w:r>
    </w:p>
    <w:p>
      <w:pPr>
        <w:spacing w:line="480" w:lineRule="auto"/>
        <w:ind w:right="241"/>
        <w:jc w:val="right"/>
        <w:rPr>
          <w:rFonts w:hint="eastAsia" w:ascii="宋体" w:hAnsi="宋体" w:eastAsia="宋体"/>
          <w:b/>
          <w:sz w:val="24"/>
        </w:rPr>
        <w:sectPr>
          <w:pgSz w:w="11906" w:h="16838"/>
          <w:pgMar w:top="1440" w:right="1800" w:bottom="1440" w:left="1800" w:header="851" w:footer="992" w:gutter="0"/>
          <w:cols w:space="425" w:num="1"/>
          <w:docGrid w:type="lines" w:linePitch="312" w:charSpace="0"/>
        </w:sectPr>
      </w:pPr>
      <w:r>
        <w:rPr>
          <w:rFonts w:hint="eastAsia" w:ascii="宋体" w:hAnsi="宋体" w:eastAsia="宋体"/>
          <w:b/>
          <w:sz w:val="24"/>
        </w:rPr>
        <w:t>20</w:t>
      </w:r>
      <w:r>
        <w:rPr>
          <w:rFonts w:hint="eastAsia" w:ascii="宋体" w:hAnsi="宋体" w:eastAsia="宋体"/>
          <w:b/>
          <w:sz w:val="24"/>
          <w:lang w:val="en-US" w:eastAsia="zh-CN"/>
        </w:rPr>
        <w:t>21</w:t>
      </w:r>
      <w:r>
        <w:rPr>
          <w:rFonts w:hint="eastAsia" w:ascii="宋体" w:hAnsi="宋体" w:eastAsia="宋体"/>
          <w:b/>
          <w:sz w:val="24"/>
        </w:rPr>
        <w:t>年</w:t>
      </w:r>
      <w:r>
        <w:rPr>
          <w:rFonts w:hint="eastAsia" w:ascii="宋体" w:hAnsi="宋体" w:eastAsia="宋体"/>
          <w:b/>
          <w:sz w:val="24"/>
          <w:lang w:val="en-US" w:eastAsia="zh-CN"/>
        </w:rPr>
        <w:t>01</w:t>
      </w:r>
      <w:r>
        <w:rPr>
          <w:rFonts w:hint="eastAsia" w:ascii="宋体" w:hAnsi="宋体" w:eastAsia="宋体"/>
          <w:b/>
          <w:sz w:val="24"/>
        </w:rPr>
        <w:t>月</w:t>
      </w:r>
    </w:p>
    <w:p>
      <w:pPr>
        <w:spacing w:line="360" w:lineRule="auto"/>
        <w:rPr>
          <w:rFonts w:ascii="宋体" w:hAnsi="宋体"/>
          <w:b/>
          <w:szCs w:val="21"/>
        </w:rPr>
      </w:pPr>
      <w:r>
        <w:rPr>
          <w:rFonts w:hint="eastAsia" w:ascii="宋体" w:hAnsi="宋体"/>
          <w:b/>
          <w:szCs w:val="21"/>
        </w:rPr>
        <w:t>附件2：</w:t>
      </w:r>
    </w:p>
    <w:p>
      <w:pPr>
        <w:spacing w:line="360" w:lineRule="auto"/>
        <w:jc w:val="center"/>
        <w:rPr>
          <w:rFonts w:eastAsia="黑体"/>
          <w:b/>
          <w:sz w:val="32"/>
          <w:szCs w:val="32"/>
        </w:rPr>
      </w:pPr>
      <w:r>
        <w:rPr>
          <w:rFonts w:hint="eastAsia" w:eastAsia="黑体"/>
          <w:b/>
          <w:sz w:val="32"/>
          <w:szCs w:val="32"/>
        </w:rPr>
        <w:t>电子科技大学经济与管理学院</w:t>
      </w:r>
    </w:p>
    <w:p>
      <w:pPr>
        <w:spacing w:line="360" w:lineRule="auto"/>
        <w:jc w:val="center"/>
        <w:rPr>
          <w:rFonts w:eastAsia="黑体"/>
          <w:b/>
          <w:sz w:val="32"/>
          <w:szCs w:val="32"/>
        </w:rPr>
      </w:pPr>
      <w:r>
        <w:rPr>
          <w:rFonts w:hint="eastAsia" w:eastAsia="黑体"/>
          <w:b/>
          <w:sz w:val="32"/>
          <w:szCs w:val="32"/>
        </w:rPr>
        <w:t>研究生专场答辩会答辩评分依据</w:t>
      </w:r>
    </w:p>
    <w:p>
      <w:pPr>
        <w:spacing w:line="360" w:lineRule="auto"/>
        <w:rPr>
          <w:sz w:val="24"/>
        </w:rPr>
      </w:pPr>
      <w:r>
        <w:rPr>
          <w:rFonts w:hint="eastAsia"/>
          <w:sz w:val="24"/>
          <w:szCs w:val="24"/>
        </w:rPr>
        <w:t>【</w:t>
      </w:r>
      <w:r>
        <w:rPr>
          <w:rFonts w:hint="eastAsia" w:ascii="宋体" w:hAnsi="宋体" w:eastAsia="宋体" w:cs="宋体"/>
          <w:sz w:val="24"/>
          <w:szCs w:val="24"/>
        </w:rPr>
        <w:t>学术科研</w:t>
      </w:r>
      <w:r>
        <w:rPr>
          <w:rFonts w:hint="eastAsia"/>
          <w:sz w:val="24"/>
          <w:szCs w:val="24"/>
        </w:rPr>
        <w:t>】</w:t>
      </w:r>
    </w:p>
    <w:p>
      <w:pPr>
        <w:widowControl w:val="0"/>
        <w:tabs>
          <w:tab w:val="left" w:pos="312"/>
        </w:tabs>
        <w:spacing w:line="360" w:lineRule="auto"/>
        <w:jc w:val="both"/>
        <w:rPr>
          <w:rFonts w:ascii="宋体" w:hAnsi="宋体" w:eastAsia="宋体" w:cs="宋体"/>
          <w:sz w:val="24"/>
        </w:rPr>
      </w:pPr>
      <w:r>
        <w:rPr>
          <w:rFonts w:hint="eastAsia"/>
          <w:sz w:val="24"/>
          <w:szCs w:val="24"/>
        </w:rPr>
        <w:t>1.参考学生</w:t>
      </w:r>
      <w:r>
        <w:rPr>
          <w:rFonts w:hint="eastAsia" w:ascii="宋体" w:hAnsi="宋体" w:eastAsia="宋体" w:cs="宋体"/>
          <w:sz w:val="24"/>
          <w:szCs w:val="24"/>
        </w:rPr>
        <w:t>论文发表、参与基金、科研项目的情况进行评分，其中论文应发表在经济与管理学院科研奖励范围的期刊上。</w:t>
      </w:r>
    </w:p>
    <w:p>
      <w:pPr>
        <w:spacing w:line="360" w:lineRule="auto"/>
        <w:rPr>
          <w:sz w:val="24"/>
          <w:szCs w:val="24"/>
        </w:rPr>
      </w:pPr>
      <w:r>
        <w:rPr>
          <w:rFonts w:hint="eastAsia"/>
          <w:sz w:val="24"/>
          <w:szCs w:val="24"/>
        </w:rPr>
        <w:t>2.博士研究生以第一作者身份在经济与管理学院科研奖励范围的管理和经济A类期刊上发表论文优先评奖；硕士研究生以第一作者身份在经济与管理学院认定的管理和经济B类及以上期刊发表论文，以及以第一作者身份在《管理科学学报》、《经济研究》、《管理世界》、《中国社会科学》发表论文优先评奖。</w:t>
      </w:r>
    </w:p>
    <w:p>
      <w:pPr>
        <w:spacing w:line="360" w:lineRule="auto"/>
        <w:rPr>
          <w:rFonts w:ascii="宋体" w:hAnsi="宋体"/>
          <w:sz w:val="24"/>
        </w:rPr>
      </w:pPr>
      <w:r>
        <w:rPr>
          <w:rFonts w:hint="eastAsia" w:ascii="宋体" w:hAnsi="宋体"/>
          <w:sz w:val="24"/>
          <w:szCs w:val="24"/>
        </w:rPr>
        <w:t>【</w:t>
      </w:r>
      <w:r>
        <w:rPr>
          <w:rFonts w:hint="eastAsia" w:ascii="宋体" w:hAnsi="宋体" w:eastAsia="宋体" w:cs="宋体"/>
          <w:sz w:val="24"/>
          <w:szCs w:val="24"/>
        </w:rPr>
        <w:t>公共服务与社会实践</w:t>
      </w:r>
      <w:r>
        <w:rPr>
          <w:rFonts w:hint="eastAsia" w:ascii="宋体" w:hAnsi="宋体"/>
          <w:sz w:val="24"/>
          <w:szCs w:val="24"/>
        </w:rPr>
        <w:t>】</w:t>
      </w:r>
    </w:p>
    <w:p>
      <w:pPr>
        <w:adjustRightInd w:val="0"/>
        <w:snapToGrid w:val="0"/>
        <w:spacing w:line="360" w:lineRule="auto"/>
        <w:rPr>
          <w:rFonts w:ascii="宋体" w:hAnsi="宋体"/>
          <w:sz w:val="24"/>
        </w:rPr>
      </w:pPr>
      <w:r>
        <w:rPr>
          <w:rFonts w:hint="eastAsia" w:ascii="宋体" w:hAnsi="宋体"/>
          <w:sz w:val="24"/>
          <w:szCs w:val="24"/>
        </w:rPr>
        <w:t>1.鼓励学生积极参与公共服务，公共服务包括担任校、院研究生会及社团干部、班长、班委、党支部干部</w:t>
      </w:r>
      <w:r>
        <w:rPr>
          <w:rFonts w:hint="eastAsia" w:ascii="宋体" w:hAnsi="宋体"/>
          <w:sz w:val="24"/>
          <w:szCs w:val="24"/>
          <w:lang w:eastAsia="zh-CN"/>
        </w:rPr>
        <w:t>、</w:t>
      </w:r>
      <w:r>
        <w:rPr>
          <w:rFonts w:hint="eastAsia" w:ascii="宋体" w:hAnsi="宋体"/>
          <w:sz w:val="24"/>
          <w:szCs w:val="24"/>
          <w:lang w:val="en-US" w:eastAsia="zh-CN"/>
        </w:rPr>
        <w:t>助管、助教，</w:t>
      </w:r>
      <w:r>
        <w:rPr>
          <w:rFonts w:hint="eastAsia" w:ascii="宋体" w:hAnsi="宋体"/>
          <w:sz w:val="24"/>
          <w:szCs w:val="24"/>
        </w:rPr>
        <w:t>以及</w:t>
      </w:r>
      <w:r>
        <w:rPr>
          <w:rFonts w:hint="eastAsia" w:ascii="Times New Roman" w:hAnsi="Times New Roman"/>
          <w:sz w:val="24"/>
          <w:szCs w:val="24"/>
        </w:rPr>
        <w:t>参与慈善事业、社会实践，为学院、学校、社会和国家做出突出贡献</w:t>
      </w:r>
      <w:r>
        <w:rPr>
          <w:rFonts w:hint="eastAsia" w:ascii="宋体" w:hAnsi="宋体"/>
          <w:sz w:val="24"/>
          <w:szCs w:val="24"/>
        </w:rPr>
        <w:t>。学生参与公共服务由相应管理部门对各干部考核，根据考核成绩进行评分。</w:t>
      </w:r>
    </w:p>
    <w:p>
      <w:pPr>
        <w:adjustRightInd w:val="0"/>
        <w:snapToGrid w:val="0"/>
        <w:spacing w:line="360" w:lineRule="auto"/>
        <w:rPr>
          <w:sz w:val="24"/>
          <w:szCs w:val="24"/>
        </w:rPr>
      </w:pPr>
      <w:r>
        <w:rPr>
          <w:rFonts w:ascii="宋体" w:hAnsi="宋体"/>
          <w:sz w:val="24"/>
          <w:szCs w:val="24"/>
        </w:rPr>
        <w:t>2.</w:t>
      </w:r>
      <w:r>
        <w:rPr>
          <w:rFonts w:hint="eastAsia" w:ascii="Times New Roman" w:hAnsi="Times New Roman"/>
          <w:sz w:val="24"/>
          <w:szCs w:val="24"/>
        </w:rPr>
        <w:t>鼓励学生积极参加基层挂职，参与基层挂职达到两周以上并由相关单位考核认</w:t>
      </w:r>
      <w:r>
        <w:rPr>
          <w:rFonts w:hint="eastAsia" w:ascii="宋体" w:hAnsi="宋体" w:eastAsia="宋体" w:cs="宋体"/>
          <w:sz w:val="24"/>
          <w:szCs w:val="24"/>
        </w:rPr>
        <w:t>定后，此</w:t>
      </w:r>
      <w:r>
        <w:rPr>
          <w:rFonts w:hint="eastAsia" w:ascii="Times New Roman" w:hAnsi="Times New Roman"/>
          <w:sz w:val="24"/>
          <w:szCs w:val="24"/>
        </w:rPr>
        <w:t>项评分应为满分。</w:t>
      </w:r>
    </w:p>
    <w:p>
      <w:pPr>
        <w:adjustRightInd w:val="0"/>
        <w:snapToGrid w:val="0"/>
        <w:spacing w:line="360" w:lineRule="auto"/>
        <w:rPr>
          <w:rFonts w:ascii="宋体" w:hAnsi="宋体"/>
          <w:sz w:val="24"/>
        </w:rPr>
      </w:pPr>
      <w:r>
        <w:rPr>
          <w:rFonts w:hint="eastAsia" w:ascii="宋体" w:hAnsi="宋体"/>
          <w:sz w:val="24"/>
          <w:szCs w:val="24"/>
        </w:rPr>
        <w:t>【竞赛及其它获奖】</w:t>
      </w:r>
    </w:p>
    <w:p>
      <w:pPr>
        <w:spacing w:line="360" w:lineRule="auto"/>
        <w:rPr>
          <w:rFonts w:ascii="宋体" w:hAnsi="宋体"/>
          <w:sz w:val="24"/>
        </w:rPr>
      </w:pPr>
      <w:r>
        <w:rPr>
          <w:rFonts w:hint="eastAsia" w:ascii="宋体" w:hAnsi="宋体" w:eastAsia="宋体" w:cs="宋体"/>
          <w:sz w:val="24"/>
          <w:szCs w:val="24"/>
        </w:rPr>
        <w:t>1.鼓励学生积极参与科技竞赛和文体竞赛，根据其参加竞赛级别（国际、国家、省、校、院级）、获奖级别及学生贡献度进行评分，所参与竞赛须在学院奖学金评审委员会审定赛事范围内，其中包括中国研究生电子设计竞赛（含商业计划书专项赛）、全国大学生电子商务“创新、创意及创业”挑战赛、全国研究生数学建模竞赛、“创青春”全</w:t>
      </w:r>
      <w:r>
        <w:rPr>
          <w:rFonts w:hint="eastAsia" w:ascii="宋体" w:hAnsi="宋体"/>
          <w:sz w:val="24"/>
          <w:szCs w:val="24"/>
        </w:rPr>
        <w:t>国大学生创业大赛、中国“互联网+”大学生创新创业大赛等。同时，鼓励学生积极参加“中国大学生年度人物”、“百人会英才奖”等评选活动，获得以上竞赛或评选的国家级（国际级）最高奖项的同学此项评分为满分。</w:t>
      </w:r>
    </w:p>
    <w:p>
      <w:pPr>
        <w:spacing w:line="480" w:lineRule="auto"/>
        <w:jc w:val="right"/>
        <w:rPr>
          <w:rFonts w:ascii="宋体" w:hAnsi="宋体" w:eastAsia="宋体"/>
          <w:b/>
          <w:sz w:val="24"/>
        </w:rPr>
      </w:pPr>
      <w:r>
        <w:rPr>
          <w:rFonts w:hint="eastAsia" w:ascii="宋体" w:hAnsi="宋体" w:eastAsia="宋体"/>
          <w:b/>
          <w:sz w:val="24"/>
        </w:rPr>
        <w:t>经济</w:t>
      </w:r>
      <w:r>
        <w:rPr>
          <w:rFonts w:ascii="宋体" w:hAnsi="宋体" w:eastAsia="宋体"/>
          <w:b/>
          <w:sz w:val="24"/>
        </w:rPr>
        <w:t>与管理学院</w:t>
      </w:r>
    </w:p>
    <w:p>
      <w:pPr>
        <w:widowControl w:val="0"/>
        <w:tabs>
          <w:tab w:val="left" w:pos="840"/>
        </w:tabs>
        <w:spacing w:line="400" w:lineRule="exact"/>
        <w:ind w:left="420" w:right="241"/>
        <w:jc w:val="right"/>
        <w:rPr>
          <w:rFonts w:ascii="宋体" w:hAnsi="宋体" w:eastAsia="宋体"/>
          <w:b/>
          <w:sz w:val="24"/>
        </w:rPr>
        <w:sectPr>
          <w:pgSz w:w="11906" w:h="16838"/>
          <w:pgMar w:top="1440" w:right="1800" w:bottom="1440" w:left="1800" w:header="851" w:footer="992" w:gutter="0"/>
          <w:cols w:space="425" w:num="1"/>
          <w:docGrid w:type="lines" w:linePitch="312" w:charSpace="0"/>
        </w:sectPr>
      </w:pPr>
      <w:r>
        <w:rPr>
          <w:rFonts w:ascii="宋体" w:hAnsi="宋体" w:eastAsia="宋体"/>
          <w:b/>
          <w:sz w:val="24"/>
        </w:rPr>
        <w:t>20</w:t>
      </w:r>
      <w:r>
        <w:rPr>
          <w:rFonts w:hint="default" w:ascii="宋体" w:hAnsi="宋体" w:eastAsia="宋体"/>
          <w:b/>
          <w:sz w:val="24"/>
          <w:lang w:val="en-US" w:eastAsia="zh-CN"/>
        </w:rPr>
        <w:t>21</w:t>
      </w:r>
      <w:r>
        <w:rPr>
          <w:rFonts w:ascii="宋体" w:hAnsi="宋体" w:eastAsia="宋体"/>
          <w:b/>
          <w:sz w:val="24"/>
        </w:rPr>
        <w:t>年</w:t>
      </w:r>
      <w:r>
        <w:rPr>
          <w:rFonts w:hint="default" w:ascii="宋体" w:hAnsi="宋体" w:eastAsia="宋体"/>
          <w:b/>
          <w:sz w:val="24"/>
          <w:lang w:val="en-US" w:eastAsia="zh-CN"/>
        </w:rPr>
        <w:t>01</w:t>
      </w:r>
      <w:r>
        <w:rPr>
          <w:rFonts w:ascii="宋体" w:hAnsi="宋体" w:eastAsia="宋体"/>
          <w:b/>
          <w:sz w:val="24"/>
        </w:rPr>
        <w:t>月</w:t>
      </w:r>
    </w:p>
    <w:p>
      <w:pPr>
        <w:spacing w:before="156" w:beforeLines="50" w:after="156" w:afterLines="50" w:line="400" w:lineRule="exact"/>
        <w:rPr>
          <w:rFonts w:asciiTheme="minorEastAsia" w:hAnsiTheme="minorEastAsia"/>
          <w:b/>
          <w:bCs/>
          <w:szCs w:val="21"/>
        </w:rPr>
      </w:pPr>
      <w:r>
        <w:rPr>
          <w:rFonts w:hint="eastAsia" w:asciiTheme="minorEastAsia" w:hAnsiTheme="minorEastAsia"/>
          <w:b/>
          <w:bCs/>
          <w:szCs w:val="21"/>
        </w:rPr>
        <w:t>附件3：</w:t>
      </w:r>
    </w:p>
    <w:p>
      <w:pPr>
        <w:spacing w:line="360" w:lineRule="auto"/>
        <w:jc w:val="center"/>
        <w:rPr>
          <w:rFonts w:eastAsia="黑体"/>
          <w:b/>
          <w:sz w:val="32"/>
          <w:szCs w:val="32"/>
        </w:rPr>
      </w:pPr>
      <w:r>
        <w:rPr>
          <w:rFonts w:hint="eastAsia" w:eastAsia="黑体"/>
          <w:b/>
          <w:sz w:val="32"/>
          <w:szCs w:val="32"/>
        </w:rPr>
        <w:t>电子科技大学经济与管理学院</w:t>
      </w:r>
    </w:p>
    <w:p>
      <w:pPr>
        <w:spacing w:line="360" w:lineRule="auto"/>
        <w:jc w:val="center"/>
        <w:rPr>
          <w:rFonts w:eastAsia="黑体"/>
          <w:b/>
          <w:sz w:val="32"/>
          <w:szCs w:val="32"/>
        </w:rPr>
      </w:pPr>
      <w:r>
        <w:rPr>
          <w:rFonts w:hint="eastAsia" w:eastAsia="黑体"/>
          <w:b/>
          <w:sz w:val="32"/>
          <w:szCs w:val="32"/>
        </w:rPr>
        <w:t>研究生专场答辩会评委打分表</w:t>
      </w:r>
    </w:p>
    <w:tbl>
      <w:tblPr>
        <w:tblStyle w:val="4"/>
        <w:tblW w:w="13969" w:type="dxa"/>
        <w:tblInd w:w="0" w:type="dxa"/>
        <w:tblLayout w:type="fixed"/>
        <w:tblCellMar>
          <w:top w:w="0" w:type="dxa"/>
          <w:left w:w="0" w:type="dxa"/>
          <w:bottom w:w="0" w:type="dxa"/>
          <w:right w:w="0" w:type="dxa"/>
        </w:tblCellMar>
      </w:tblPr>
      <w:tblGrid>
        <w:gridCol w:w="1126"/>
        <w:gridCol w:w="1126"/>
        <w:gridCol w:w="1126"/>
        <w:gridCol w:w="1126"/>
        <w:gridCol w:w="1126"/>
        <w:gridCol w:w="2876"/>
        <w:gridCol w:w="2821"/>
        <w:gridCol w:w="2642"/>
      </w:tblGrid>
      <w:tr>
        <w:tblPrEx>
          <w:tblCellMar>
            <w:top w:w="0" w:type="dxa"/>
            <w:left w:w="0" w:type="dxa"/>
            <w:bottom w:w="0" w:type="dxa"/>
            <w:right w:w="0" w:type="dxa"/>
          </w:tblCellMar>
        </w:tblPrEx>
        <w:trPr>
          <w:trHeight w:val="450" w:hRule="atLeast"/>
        </w:trPr>
        <w:tc>
          <w:tcPr>
            <w:tcW w:w="13969" w:type="dxa"/>
            <w:gridSpan w:val="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黑体" w:hAnsi="宋体" w:eastAsia="黑体" w:cs="黑体"/>
                <w:b/>
                <w:color w:val="000000"/>
                <w:sz w:val="36"/>
                <w:szCs w:val="36"/>
              </w:rPr>
            </w:pPr>
            <w:r>
              <w:rPr>
                <w:rFonts w:hint="eastAsia" w:ascii="黑体" w:hAnsi="宋体" w:eastAsia="黑体" w:cs="黑体"/>
                <w:b/>
                <w:color w:val="000000"/>
                <w:sz w:val="36"/>
                <w:szCs w:val="36"/>
                <w:lang w:bidi="ar"/>
              </w:rPr>
              <w:t>电子科技大学经济与管理学院20XX-20XX年度研究生专场答辩会评委打分表</w:t>
            </w:r>
          </w:p>
        </w:tc>
      </w:tr>
      <w:tr>
        <w:tblPrEx>
          <w:tblCellMar>
            <w:top w:w="0" w:type="dxa"/>
            <w:left w:w="0" w:type="dxa"/>
            <w:bottom w:w="0" w:type="dxa"/>
            <w:right w:w="0" w:type="dxa"/>
          </w:tblCellMar>
        </w:tblPrEx>
        <w:trPr>
          <w:trHeight w:val="370" w:hRule="atLeast"/>
        </w:trPr>
        <w:tc>
          <w:tcPr>
            <w:tcW w:w="1126" w:type="dxa"/>
            <w:tcBorders>
              <w:top w:val="single" w:color="auto"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序号</w:t>
            </w:r>
          </w:p>
        </w:tc>
        <w:tc>
          <w:tcPr>
            <w:tcW w:w="1126" w:type="dxa"/>
            <w:tcBorders>
              <w:top w:val="single" w:color="auto"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姓名</w:t>
            </w:r>
          </w:p>
        </w:tc>
        <w:tc>
          <w:tcPr>
            <w:tcW w:w="1126" w:type="dxa"/>
            <w:tcBorders>
              <w:top w:val="single" w:color="auto"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年级</w:t>
            </w:r>
          </w:p>
        </w:tc>
        <w:tc>
          <w:tcPr>
            <w:tcW w:w="1126" w:type="dxa"/>
            <w:tcBorders>
              <w:top w:val="single" w:color="auto"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导师</w:t>
            </w:r>
          </w:p>
        </w:tc>
        <w:tc>
          <w:tcPr>
            <w:tcW w:w="1126" w:type="dxa"/>
            <w:tcBorders>
              <w:top w:val="single" w:color="auto"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专业</w:t>
            </w:r>
          </w:p>
        </w:tc>
        <w:tc>
          <w:tcPr>
            <w:tcW w:w="2876" w:type="dxa"/>
            <w:tcBorders>
              <w:top w:val="single" w:color="auto"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获奖等级</w:t>
            </w:r>
          </w:p>
        </w:tc>
        <w:tc>
          <w:tcPr>
            <w:tcW w:w="2821" w:type="dxa"/>
            <w:tcBorders>
              <w:top w:val="single" w:color="auto"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支撑成果</w:t>
            </w:r>
          </w:p>
        </w:tc>
        <w:tc>
          <w:tcPr>
            <w:tcW w:w="2642" w:type="dxa"/>
            <w:tcBorders>
              <w:top w:val="single" w:color="auto"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评委打分（百分制）</w:t>
            </w:r>
          </w:p>
        </w:tc>
      </w:tr>
      <w:tr>
        <w:tblPrEx>
          <w:tblCellMar>
            <w:top w:w="0" w:type="dxa"/>
            <w:left w:w="0" w:type="dxa"/>
            <w:bottom w:w="0" w:type="dxa"/>
            <w:right w:w="0" w:type="dxa"/>
          </w:tblCellMar>
        </w:tblPrEx>
        <w:trPr>
          <w:trHeight w:val="370" w:hRule="atLeast"/>
        </w:trPr>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1</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70" w:hRule="atLeast"/>
        </w:trPr>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2</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70" w:hRule="atLeast"/>
        </w:trPr>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3</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70" w:hRule="atLeast"/>
        </w:trPr>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4</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70" w:hRule="atLeast"/>
        </w:trPr>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70" w:hRule="atLeast"/>
        </w:trPr>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6</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70" w:hRule="atLeast"/>
        </w:trPr>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7</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70" w:hRule="atLeast"/>
        </w:trPr>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8</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70" w:hRule="atLeast"/>
        </w:trPr>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rPr>
              <w:t>9</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70" w:hRule="atLeast"/>
        </w:trPr>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70" w:hRule="atLeast"/>
        </w:trPr>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11</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bl>
    <w:p>
      <w:pPr>
        <w:wordWrap w:val="0"/>
        <w:spacing w:line="360" w:lineRule="auto"/>
        <w:jc w:val="right"/>
        <w:rPr>
          <w:rFonts w:asciiTheme="minorEastAsia" w:hAnsiTheme="minorEastAsia" w:cstheme="minorEastAsia"/>
          <w:b/>
          <w:sz w:val="24"/>
          <w:szCs w:val="24"/>
        </w:rPr>
      </w:pPr>
      <w:r>
        <w:rPr>
          <w:rFonts w:hint="eastAsia" w:asciiTheme="minorEastAsia" w:hAnsiTheme="minorEastAsia" w:cstheme="minorEastAsia"/>
          <w:b/>
          <w:sz w:val="24"/>
          <w:szCs w:val="24"/>
        </w:rPr>
        <w:t xml:space="preserve">答辩评委：         </w:t>
      </w:r>
    </w:p>
    <w:p>
      <w:pPr>
        <w:wordWrap w:val="0"/>
        <w:spacing w:line="360" w:lineRule="auto"/>
        <w:jc w:val="right"/>
        <w:rPr>
          <w:rFonts w:asciiTheme="minorEastAsia" w:hAnsiTheme="minorEastAsia" w:cstheme="minorEastAsia"/>
          <w:b/>
          <w:sz w:val="24"/>
          <w:szCs w:val="24"/>
        </w:rPr>
        <w:sectPr>
          <w:pgSz w:w="16838" w:h="11906" w:orient="landscape"/>
          <w:pgMar w:top="1800" w:right="1440" w:bottom="1800" w:left="1440" w:header="851" w:footer="992" w:gutter="0"/>
          <w:cols w:space="425" w:num="1"/>
          <w:docGrid w:type="lines" w:linePitch="312" w:charSpace="0"/>
        </w:sectPr>
      </w:pPr>
      <w:r>
        <w:rPr>
          <w:rFonts w:hint="eastAsia" w:asciiTheme="minorEastAsia" w:hAnsiTheme="minorEastAsia" w:cstheme="minorEastAsia"/>
          <w:b/>
          <w:sz w:val="24"/>
          <w:szCs w:val="24"/>
        </w:rPr>
        <w:t xml:space="preserve">时间：         </w:t>
      </w:r>
    </w:p>
    <w:p>
      <w:pPr>
        <w:spacing w:before="156" w:beforeLines="50" w:after="156" w:afterLines="50" w:line="400" w:lineRule="exact"/>
        <w:rPr>
          <w:rFonts w:asciiTheme="minorEastAsia" w:hAnsiTheme="minorEastAsia"/>
          <w:b/>
          <w:bCs/>
          <w:szCs w:val="21"/>
        </w:rPr>
      </w:pPr>
      <w:r>
        <w:rPr>
          <w:rFonts w:hint="eastAsia" w:asciiTheme="minorEastAsia" w:hAnsiTheme="minorEastAsia"/>
          <w:b/>
          <w:bCs/>
          <w:szCs w:val="21"/>
        </w:rPr>
        <w:t>附件4：</w:t>
      </w:r>
    </w:p>
    <w:p>
      <w:pPr>
        <w:spacing w:line="360" w:lineRule="auto"/>
        <w:jc w:val="center"/>
        <w:rPr>
          <w:rFonts w:eastAsia="黑体"/>
          <w:b/>
          <w:sz w:val="32"/>
          <w:szCs w:val="32"/>
        </w:rPr>
      </w:pPr>
      <w:r>
        <w:rPr>
          <w:rFonts w:hint="eastAsia" w:eastAsia="黑体"/>
          <w:b/>
          <w:sz w:val="32"/>
          <w:szCs w:val="32"/>
        </w:rPr>
        <w:t>电子科技大学经济与管理学院</w:t>
      </w:r>
    </w:p>
    <w:p>
      <w:pPr>
        <w:spacing w:line="360" w:lineRule="auto"/>
        <w:jc w:val="center"/>
        <w:rPr>
          <w:rFonts w:eastAsia="黑体"/>
          <w:b/>
          <w:sz w:val="32"/>
          <w:szCs w:val="32"/>
        </w:rPr>
      </w:pPr>
      <w:r>
        <w:rPr>
          <w:rFonts w:hint="eastAsia" w:eastAsia="黑体"/>
          <w:b/>
          <w:sz w:val="32"/>
          <w:szCs w:val="32"/>
        </w:rPr>
        <w:t>研究生专场答辩会评委打分汇总表</w:t>
      </w:r>
    </w:p>
    <w:tbl>
      <w:tblPr>
        <w:tblStyle w:val="4"/>
        <w:tblW w:w="469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6"/>
        <w:gridCol w:w="466"/>
        <w:gridCol w:w="467"/>
        <w:gridCol w:w="467"/>
        <w:gridCol w:w="467"/>
        <w:gridCol w:w="467"/>
        <w:gridCol w:w="616"/>
        <w:gridCol w:w="809"/>
        <w:gridCol w:w="809"/>
        <w:gridCol w:w="809"/>
        <w:gridCol w:w="809"/>
        <w:gridCol w:w="809"/>
        <w:gridCol w:w="809"/>
        <w:gridCol w:w="809"/>
        <w:gridCol w:w="809"/>
        <w:gridCol w:w="809"/>
        <w:gridCol w:w="809"/>
        <w:gridCol w:w="809"/>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5000" w:type="pct"/>
            <w:gridSpan w:val="19"/>
            <w:tcBorders>
              <w:tl2br w:val="nil"/>
              <w:tr2bl w:val="nil"/>
            </w:tcBorders>
            <w:shd w:val="clear" w:color="auto" w:fill="auto"/>
            <w:noWrap/>
            <w:tcMar>
              <w:top w:w="15" w:type="dxa"/>
              <w:left w:w="15" w:type="dxa"/>
              <w:right w:w="15" w:type="dxa"/>
            </w:tcMar>
            <w:vAlign w:val="center"/>
          </w:tcPr>
          <w:p>
            <w:pPr>
              <w:jc w:val="center"/>
              <w:textAlignment w:val="center"/>
              <w:rPr>
                <w:rFonts w:hint="eastAsia" w:ascii="宋体" w:hAnsi="宋体" w:eastAsia="宋体" w:cs="宋体"/>
                <w:b/>
                <w:color w:val="000000"/>
                <w:sz w:val="36"/>
                <w:szCs w:val="36"/>
                <w:lang w:bidi="ar"/>
              </w:rPr>
            </w:pPr>
            <w:r>
              <w:rPr>
                <w:rFonts w:hint="eastAsia" w:ascii="宋体" w:hAnsi="宋体" w:eastAsia="宋体" w:cs="宋体"/>
                <w:b/>
                <w:color w:val="000000"/>
                <w:sz w:val="36"/>
                <w:szCs w:val="36"/>
                <w:lang w:bidi="ar"/>
              </w:rPr>
              <w:t>电子科技大学经济与管理学院20XX-20XX年度研究生专场答辩会评委打分汇总表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77" w:type="pct"/>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序号</w:t>
            </w:r>
          </w:p>
        </w:tc>
        <w:tc>
          <w:tcPr>
            <w:tcW w:w="177" w:type="pct"/>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学号</w:t>
            </w:r>
          </w:p>
        </w:tc>
        <w:tc>
          <w:tcPr>
            <w:tcW w:w="177" w:type="pct"/>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姓名</w:t>
            </w:r>
          </w:p>
        </w:tc>
        <w:tc>
          <w:tcPr>
            <w:tcW w:w="177" w:type="pct"/>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年级</w:t>
            </w:r>
          </w:p>
        </w:tc>
        <w:tc>
          <w:tcPr>
            <w:tcW w:w="177" w:type="pct"/>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导师</w:t>
            </w:r>
          </w:p>
        </w:tc>
        <w:tc>
          <w:tcPr>
            <w:tcW w:w="177" w:type="pct"/>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专业</w:t>
            </w:r>
          </w:p>
        </w:tc>
        <w:tc>
          <w:tcPr>
            <w:tcW w:w="234" w:type="pct"/>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答辩形式</w:t>
            </w:r>
          </w:p>
        </w:tc>
        <w:tc>
          <w:tcPr>
            <w:tcW w:w="308" w:type="pct"/>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成绩1</w:t>
            </w:r>
          </w:p>
        </w:tc>
        <w:tc>
          <w:tcPr>
            <w:tcW w:w="308" w:type="pct"/>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成绩2</w:t>
            </w:r>
          </w:p>
        </w:tc>
        <w:tc>
          <w:tcPr>
            <w:tcW w:w="308" w:type="pct"/>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成绩3</w:t>
            </w:r>
          </w:p>
        </w:tc>
        <w:tc>
          <w:tcPr>
            <w:tcW w:w="308" w:type="pct"/>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成绩4</w:t>
            </w:r>
          </w:p>
        </w:tc>
        <w:tc>
          <w:tcPr>
            <w:tcW w:w="308" w:type="pct"/>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成绩5</w:t>
            </w:r>
          </w:p>
        </w:tc>
        <w:tc>
          <w:tcPr>
            <w:tcW w:w="308" w:type="pct"/>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成绩6</w:t>
            </w:r>
          </w:p>
        </w:tc>
        <w:tc>
          <w:tcPr>
            <w:tcW w:w="308" w:type="pct"/>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成绩7</w:t>
            </w:r>
          </w:p>
        </w:tc>
        <w:tc>
          <w:tcPr>
            <w:tcW w:w="308" w:type="pct"/>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成绩8</w:t>
            </w:r>
          </w:p>
        </w:tc>
        <w:tc>
          <w:tcPr>
            <w:tcW w:w="308" w:type="pct"/>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成绩9</w:t>
            </w:r>
          </w:p>
        </w:tc>
        <w:tc>
          <w:tcPr>
            <w:tcW w:w="308" w:type="pct"/>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最高分</w:t>
            </w:r>
          </w:p>
        </w:tc>
        <w:tc>
          <w:tcPr>
            <w:tcW w:w="308" w:type="pct"/>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最低分</w:t>
            </w:r>
          </w:p>
        </w:tc>
        <w:tc>
          <w:tcPr>
            <w:tcW w:w="308" w:type="pct"/>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平均分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77" w:type="pct"/>
            <w:tcBorders>
              <w:tl2br w:val="nil"/>
              <w:tr2bl w:val="nil"/>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 xml:space="preserve">1 </w:t>
            </w: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4"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77" w:type="pct"/>
            <w:tcBorders>
              <w:tl2br w:val="nil"/>
              <w:tr2bl w:val="nil"/>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 xml:space="preserve">2 </w:t>
            </w: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4"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77" w:type="pct"/>
            <w:tcBorders>
              <w:tl2br w:val="nil"/>
              <w:tr2bl w:val="nil"/>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 xml:space="preserve">3 </w:t>
            </w: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4"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77" w:type="pct"/>
            <w:tcBorders>
              <w:tl2br w:val="nil"/>
              <w:tr2bl w:val="nil"/>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 xml:space="preserve">4 </w:t>
            </w: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4"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77" w:type="pct"/>
            <w:tcBorders>
              <w:tl2br w:val="nil"/>
              <w:tr2bl w:val="nil"/>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 xml:space="preserve">5 </w:t>
            </w: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4"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77" w:type="pct"/>
            <w:tcBorders>
              <w:tl2br w:val="nil"/>
              <w:tr2bl w:val="nil"/>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 xml:space="preserve">6 </w:t>
            </w: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4"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77" w:type="pct"/>
            <w:tcBorders>
              <w:tl2br w:val="nil"/>
              <w:tr2bl w:val="nil"/>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 xml:space="preserve">7 </w:t>
            </w: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4"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77" w:type="pct"/>
            <w:tcBorders>
              <w:tl2br w:val="nil"/>
              <w:tr2bl w:val="nil"/>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 xml:space="preserve">8 </w:t>
            </w: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4"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77" w:type="pct"/>
            <w:tcBorders>
              <w:tl2br w:val="nil"/>
              <w:tr2bl w:val="nil"/>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 xml:space="preserve">9 </w:t>
            </w: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4"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77" w:type="pct"/>
            <w:tcBorders>
              <w:tl2br w:val="nil"/>
              <w:tr2bl w:val="nil"/>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 xml:space="preserve">10 </w:t>
            </w: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7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4"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08"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5000" w:type="pct"/>
            <w:gridSpan w:val="19"/>
            <w:tcBorders>
              <w:tl2br w:val="nil"/>
              <w:tr2bl w:val="nil"/>
            </w:tcBorders>
            <w:shd w:val="clear" w:color="auto" w:fill="auto"/>
            <w:noWrap/>
            <w:tcMar>
              <w:top w:w="15" w:type="dxa"/>
              <w:left w:w="15" w:type="dxa"/>
              <w:right w:w="15" w:type="dxa"/>
            </w:tcMar>
          </w:tcPr>
          <w:p>
            <w:pPr>
              <w:textAlignment w:val="center"/>
              <w:rPr>
                <w:rFonts w:hint="eastAsia" w:ascii="宋体" w:hAnsi="宋体" w:eastAsia="宋体" w:cs="宋体"/>
                <w:color w:val="000000"/>
                <w:sz w:val="22"/>
                <w:lang w:bidi="ar"/>
              </w:rPr>
            </w:pPr>
            <w:r>
              <w:rPr>
                <w:rFonts w:hint="eastAsia" w:ascii="宋体" w:hAnsi="宋体" w:eastAsia="宋体" w:cs="宋体"/>
                <w:color w:val="000000"/>
                <w:sz w:val="22"/>
                <w:lang w:bidi="ar"/>
              </w:rPr>
              <w:t>答辩形式：到场/视频</w:t>
            </w:r>
          </w:p>
        </w:tc>
      </w:tr>
    </w:tbl>
    <w:p>
      <w:pPr>
        <w:wordWrap w:val="0"/>
        <w:spacing w:line="360" w:lineRule="auto"/>
        <w:jc w:val="right"/>
        <w:rPr>
          <w:rFonts w:asciiTheme="minorEastAsia" w:hAnsiTheme="minorEastAsia" w:cstheme="minorEastAsia"/>
          <w:b/>
          <w:sz w:val="24"/>
          <w:szCs w:val="24"/>
        </w:rPr>
        <w:sectPr>
          <w:pgSz w:w="16838" w:h="11906" w:orient="landscape"/>
          <w:pgMar w:top="1800" w:right="1440" w:bottom="1800" w:left="1440" w:header="851" w:footer="992" w:gutter="0"/>
          <w:cols w:space="425" w:num="1"/>
          <w:docGrid w:type="lines" w:linePitch="312" w:charSpace="0"/>
        </w:sectPr>
      </w:pPr>
      <w:r>
        <w:rPr>
          <w:rFonts w:hint="eastAsia" w:asciiTheme="minorEastAsia" w:hAnsiTheme="minorEastAsia" w:cstheme="minorEastAsia"/>
          <w:b/>
          <w:sz w:val="24"/>
          <w:szCs w:val="24"/>
        </w:rPr>
        <w:t xml:space="preserve">时间：         </w:t>
      </w:r>
    </w:p>
    <w:p>
      <w:pPr>
        <w:spacing w:before="156" w:beforeLines="50" w:after="156" w:afterLines="50" w:line="400" w:lineRule="exact"/>
        <w:rPr>
          <w:rFonts w:asciiTheme="minorEastAsia" w:hAnsiTheme="minorEastAsia"/>
          <w:b/>
          <w:bCs/>
          <w:szCs w:val="21"/>
        </w:rPr>
      </w:pPr>
      <w:r>
        <w:rPr>
          <w:rFonts w:hint="eastAsia" w:asciiTheme="minorEastAsia" w:hAnsiTheme="minorEastAsia"/>
          <w:b/>
          <w:bCs/>
          <w:szCs w:val="21"/>
        </w:rPr>
        <w:t>附件5：</w:t>
      </w:r>
    </w:p>
    <w:p>
      <w:pPr>
        <w:spacing w:line="360" w:lineRule="auto"/>
        <w:jc w:val="center"/>
        <w:rPr>
          <w:rFonts w:eastAsia="黑体"/>
          <w:b/>
          <w:sz w:val="32"/>
          <w:szCs w:val="32"/>
        </w:rPr>
      </w:pPr>
      <w:r>
        <w:rPr>
          <w:rFonts w:hint="eastAsia" w:eastAsia="黑体"/>
          <w:b/>
          <w:sz w:val="32"/>
          <w:szCs w:val="32"/>
        </w:rPr>
        <w:t>电子科技大学经济与管理学院</w:t>
      </w:r>
    </w:p>
    <w:p>
      <w:pPr>
        <w:spacing w:line="360" w:lineRule="auto"/>
        <w:jc w:val="center"/>
        <w:rPr>
          <w:rFonts w:eastAsia="黑体"/>
          <w:b/>
          <w:sz w:val="32"/>
          <w:szCs w:val="32"/>
        </w:rPr>
      </w:pPr>
      <w:r>
        <w:rPr>
          <w:rFonts w:hint="eastAsia" w:eastAsia="黑体"/>
          <w:b/>
          <w:sz w:val="32"/>
          <w:szCs w:val="32"/>
        </w:rPr>
        <w:t>研究生专场答辩会获奖拟推荐名单表</w:t>
      </w:r>
    </w:p>
    <w:tbl>
      <w:tblPr>
        <w:tblStyle w:val="4"/>
        <w:tblW w:w="139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1"/>
        <w:gridCol w:w="811"/>
        <w:gridCol w:w="811"/>
        <w:gridCol w:w="2300"/>
        <w:gridCol w:w="2300"/>
        <w:gridCol w:w="2300"/>
        <w:gridCol w:w="2300"/>
        <w:gridCol w:w="23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13936" w:type="dxa"/>
            <w:gridSpan w:val="8"/>
            <w:tcBorders>
              <w:tl2br w:val="nil"/>
              <w:tr2bl w:val="nil"/>
            </w:tcBorders>
            <w:shd w:val="clear" w:color="auto" w:fill="auto"/>
            <w:noWrap/>
            <w:tcMar>
              <w:top w:w="15" w:type="dxa"/>
              <w:left w:w="15" w:type="dxa"/>
              <w:right w:w="15" w:type="dxa"/>
            </w:tcMar>
            <w:vAlign w:val="center"/>
          </w:tcPr>
          <w:p>
            <w:pPr>
              <w:jc w:val="center"/>
              <w:textAlignment w:val="center"/>
              <w:rPr>
                <w:rFonts w:ascii="宋体" w:hAnsi="宋体" w:eastAsia="宋体" w:cs="宋体"/>
                <w:b/>
                <w:color w:val="000000"/>
                <w:sz w:val="36"/>
                <w:szCs w:val="36"/>
              </w:rPr>
            </w:pPr>
            <w:r>
              <w:rPr>
                <w:rFonts w:hint="eastAsia" w:ascii="宋体" w:hAnsi="宋体" w:eastAsia="宋体" w:cs="宋体"/>
                <w:b/>
                <w:color w:val="000000"/>
                <w:sz w:val="36"/>
                <w:szCs w:val="36"/>
                <w:lang w:bidi="ar"/>
              </w:rPr>
              <w:t>电子科技大学经济与管理学院20XX-20XX年度研究生专场答辩会获奖拟推荐名单表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811" w:type="dxa"/>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序号</w:t>
            </w:r>
          </w:p>
        </w:tc>
        <w:tc>
          <w:tcPr>
            <w:tcW w:w="811" w:type="dxa"/>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学号</w:t>
            </w:r>
          </w:p>
        </w:tc>
        <w:tc>
          <w:tcPr>
            <w:tcW w:w="811" w:type="dxa"/>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姓名</w:t>
            </w:r>
          </w:p>
        </w:tc>
        <w:tc>
          <w:tcPr>
            <w:tcW w:w="2300" w:type="dxa"/>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年级</w:t>
            </w:r>
          </w:p>
        </w:tc>
        <w:tc>
          <w:tcPr>
            <w:tcW w:w="2300" w:type="dxa"/>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专业</w:t>
            </w:r>
          </w:p>
        </w:tc>
        <w:tc>
          <w:tcPr>
            <w:tcW w:w="2300" w:type="dxa"/>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平均分</w:t>
            </w:r>
          </w:p>
        </w:tc>
        <w:tc>
          <w:tcPr>
            <w:tcW w:w="2300" w:type="dxa"/>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排名</w:t>
            </w:r>
          </w:p>
        </w:tc>
        <w:tc>
          <w:tcPr>
            <w:tcW w:w="2303" w:type="dxa"/>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拟推荐奖项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1" w:type="dxa"/>
            <w:tcBorders>
              <w:tl2br w:val="nil"/>
              <w:tr2bl w:val="nil"/>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1</w:t>
            </w:r>
          </w:p>
        </w:tc>
        <w:tc>
          <w:tcPr>
            <w:tcW w:w="811"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11"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3"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1" w:type="dxa"/>
            <w:tcBorders>
              <w:tl2br w:val="nil"/>
              <w:tr2bl w:val="nil"/>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2</w:t>
            </w:r>
          </w:p>
        </w:tc>
        <w:tc>
          <w:tcPr>
            <w:tcW w:w="811"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11"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3"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1" w:type="dxa"/>
            <w:tcBorders>
              <w:tl2br w:val="nil"/>
              <w:tr2bl w:val="nil"/>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3</w:t>
            </w:r>
          </w:p>
        </w:tc>
        <w:tc>
          <w:tcPr>
            <w:tcW w:w="811"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11"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3"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1" w:type="dxa"/>
            <w:tcBorders>
              <w:tl2br w:val="nil"/>
              <w:tr2bl w:val="nil"/>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4</w:t>
            </w:r>
          </w:p>
        </w:tc>
        <w:tc>
          <w:tcPr>
            <w:tcW w:w="811"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11"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3"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1" w:type="dxa"/>
            <w:tcBorders>
              <w:tl2br w:val="nil"/>
              <w:tr2bl w:val="nil"/>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5</w:t>
            </w:r>
          </w:p>
        </w:tc>
        <w:tc>
          <w:tcPr>
            <w:tcW w:w="811"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11"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3"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1" w:type="dxa"/>
            <w:tcBorders>
              <w:tl2br w:val="nil"/>
              <w:tr2bl w:val="nil"/>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6</w:t>
            </w:r>
          </w:p>
        </w:tc>
        <w:tc>
          <w:tcPr>
            <w:tcW w:w="811"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11"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3"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1" w:type="dxa"/>
            <w:tcBorders>
              <w:tl2br w:val="nil"/>
              <w:tr2bl w:val="nil"/>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7</w:t>
            </w:r>
          </w:p>
        </w:tc>
        <w:tc>
          <w:tcPr>
            <w:tcW w:w="811"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11"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3"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1" w:type="dxa"/>
            <w:tcBorders>
              <w:tl2br w:val="nil"/>
              <w:tr2bl w:val="nil"/>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8</w:t>
            </w:r>
          </w:p>
        </w:tc>
        <w:tc>
          <w:tcPr>
            <w:tcW w:w="811"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11"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3"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1" w:type="dxa"/>
            <w:tcBorders>
              <w:tl2br w:val="nil"/>
              <w:tr2bl w:val="nil"/>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9</w:t>
            </w:r>
          </w:p>
        </w:tc>
        <w:tc>
          <w:tcPr>
            <w:tcW w:w="811"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11"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3"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1" w:type="dxa"/>
            <w:tcBorders>
              <w:tl2br w:val="nil"/>
              <w:tr2bl w:val="nil"/>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10</w:t>
            </w:r>
          </w:p>
        </w:tc>
        <w:tc>
          <w:tcPr>
            <w:tcW w:w="811"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11"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3"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1" w:type="dxa"/>
            <w:tcBorders>
              <w:tl2br w:val="nil"/>
              <w:tr2bl w:val="nil"/>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11</w:t>
            </w:r>
          </w:p>
        </w:tc>
        <w:tc>
          <w:tcPr>
            <w:tcW w:w="811"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11"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3"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bl>
    <w:p>
      <w:pPr>
        <w:wordWrap w:val="0"/>
        <w:spacing w:line="360" w:lineRule="auto"/>
        <w:jc w:val="right"/>
        <w:rPr>
          <w:rFonts w:asciiTheme="minorEastAsia" w:hAnsiTheme="minorEastAsia" w:cstheme="minorEastAsia"/>
          <w:b/>
          <w:sz w:val="24"/>
          <w:szCs w:val="24"/>
        </w:rPr>
      </w:pPr>
      <w:r>
        <w:rPr>
          <w:rFonts w:hint="eastAsia" w:asciiTheme="minorEastAsia" w:hAnsiTheme="minorEastAsia" w:cstheme="minorEastAsia"/>
          <w:b/>
          <w:sz w:val="24"/>
          <w:szCs w:val="24"/>
        </w:rPr>
        <w:t xml:space="preserve">时间：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1F407"/>
    <w:multiLevelType w:val="singleLevel"/>
    <w:tmpl w:val="5681F407"/>
    <w:lvl w:ilvl="0" w:tentative="0">
      <w:start w:val="3"/>
      <w:numFmt w:val="chineseCounting"/>
      <w:suff w:val="nothing"/>
      <w:lvlText w:val="%1、"/>
      <w:lvlJc w:val="left"/>
      <w:rPr>
        <w:sz w:val="24"/>
        <w:szCs w:val="24"/>
      </w:rPr>
    </w:lvl>
  </w:abstractNum>
  <w:abstractNum w:abstractNumId="1">
    <w:nsid w:val="5681F473"/>
    <w:multiLevelType w:val="singleLevel"/>
    <w:tmpl w:val="5681F473"/>
    <w:lvl w:ilvl="0" w:tentative="0">
      <w:start w:val="1"/>
      <w:numFmt w:val="decimal"/>
      <w:suff w:val="nothing"/>
      <w:lvlText w:val="%1、"/>
      <w:lvlJc w:val="left"/>
    </w:lvl>
  </w:abstractNum>
  <w:abstractNum w:abstractNumId="2">
    <w:nsid w:val="5681FB1E"/>
    <w:multiLevelType w:val="singleLevel"/>
    <w:tmpl w:val="5681FB1E"/>
    <w:lvl w:ilvl="0" w:tentative="0">
      <w:start w:val="1"/>
      <w:numFmt w:val="chineseCounting"/>
      <w:suff w:val="nothing"/>
      <w:lvlText w:val="%1、"/>
      <w:lvlJc w:val="left"/>
    </w:lvl>
  </w:abstractNum>
  <w:abstractNum w:abstractNumId="3">
    <w:nsid w:val="57343D1F"/>
    <w:multiLevelType w:val="multilevel"/>
    <w:tmpl w:val="57343D1F"/>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AA55CB6"/>
    <w:rsid w:val="00004395"/>
    <w:rsid w:val="000243A1"/>
    <w:rsid w:val="0008738A"/>
    <w:rsid w:val="000E04BC"/>
    <w:rsid w:val="00114CD0"/>
    <w:rsid w:val="00177A07"/>
    <w:rsid w:val="001A327B"/>
    <w:rsid w:val="001A4EB1"/>
    <w:rsid w:val="001B5AD4"/>
    <w:rsid w:val="001E1303"/>
    <w:rsid w:val="001E5B56"/>
    <w:rsid w:val="001F2C25"/>
    <w:rsid w:val="00216F2A"/>
    <w:rsid w:val="002728D1"/>
    <w:rsid w:val="002A7BFB"/>
    <w:rsid w:val="002E3436"/>
    <w:rsid w:val="002E64B4"/>
    <w:rsid w:val="002F4667"/>
    <w:rsid w:val="00322EB7"/>
    <w:rsid w:val="00345A74"/>
    <w:rsid w:val="00373446"/>
    <w:rsid w:val="0038702F"/>
    <w:rsid w:val="003D2459"/>
    <w:rsid w:val="00477EB4"/>
    <w:rsid w:val="004A515D"/>
    <w:rsid w:val="004D3D8C"/>
    <w:rsid w:val="00546EE6"/>
    <w:rsid w:val="00557BC5"/>
    <w:rsid w:val="005A725D"/>
    <w:rsid w:val="005F4E90"/>
    <w:rsid w:val="006020A9"/>
    <w:rsid w:val="00620AFB"/>
    <w:rsid w:val="00632426"/>
    <w:rsid w:val="00666EF9"/>
    <w:rsid w:val="006C1419"/>
    <w:rsid w:val="007951E1"/>
    <w:rsid w:val="007A2BBE"/>
    <w:rsid w:val="00802738"/>
    <w:rsid w:val="0084367B"/>
    <w:rsid w:val="008446A4"/>
    <w:rsid w:val="00865E28"/>
    <w:rsid w:val="00881F82"/>
    <w:rsid w:val="008A5054"/>
    <w:rsid w:val="008D25F1"/>
    <w:rsid w:val="008D66E3"/>
    <w:rsid w:val="008E2AAB"/>
    <w:rsid w:val="008F584A"/>
    <w:rsid w:val="00935912"/>
    <w:rsid w:val="00944951"/>
    <w:rsid w:val="00994FEB"/>
    <w:rsid w:val="009A5961"/>
    <w:rsid w:val="009B3FF6"/>
    <w:rsid w:val="009E5F49"/>
    <w:rsid w:val="00A05072"/>
    <w:rsid w:val="00A44FB5"/>
    <w:rsid w:val="00A55061"/>
    <w:rsid w:val="00A85E9D"/>
    <w:rsid w:val="00AC116F"/>
    <w:rsid w:val="00AC1978"/>
    <w:rsid w:val="00AD5D0A"/>
    <w:rsid w:val="00B716C3"/>
    <w:rsid w:val="00BD56C6"/>
    <w:rsid w:val="00BE4FA2"/>
    <w:rsid w:val="00BE6CF4"/>
    <w:rsid w:val="00BE7B42"/>
    <w:rsid w:val="00C53BBB"/>
    <w:rsid w:val="00CA4FC8"/>
    <w:rsid w:val="00CC14D8"/>
    <w:rsid w:val="00CF4A10"/>
    <w:rsid w:val="00D271E3"/>
    <w:rsid w:val="00D416EC"/>
    <w:rsid w:val="00D54CC9"/>
    <w:rsid w:val="00D61AF2"/>
    <w:rsid w:val="00DA2A8F"/>
    <w:rsid w:val="00DD0B3D"/>
    <w:rsid w:val="00DF4036"/>
    <w:rsid w:val="00E32DFE"/>
    <w:rsid w:val="00E4199A"/>
    <w:rsid w:val="00E6206D"/>
    <w:rsid w:val="00E75BC3"/>
    <w:rsid w:val="00ED4AF6"/>
    <w:rsid w:val="00EE1D32"/>
    <w:rsid w:val="00EE71FE"/>
    <w:rsid w:val="00F14E54"/>
    <w:rsid w:val="00F958C5"/>
    <w:rsid w:val="00FA1981"/>
    <w:rsid w:val="00FB4B3F"/>
    <w:rsid w:val="0132153B"/>
    <w:rsid w:val="01497252"/>
    <w:rsid w:val="01653C5A"/>
    <w:rsid w:val="0186620B"/>
    <w:rsid w:val="01C33755"/>
    <w:rsid w:val="02252D11"/>
    <w:rsid w:val="03CE48DB"/>
    <w:rsid w:val="042747DA"/>
    <w:rsid w:val="04772908"/>
    <w:rsid w:val="05CA5FE4"/>
    <w:rsid w:val="061C509A"/>
    <w:rsid w:val="06B94A18"/>
    <w:rsid w:val="071559BC"/>
    <w:rsid w:val="07C85193"/>
    <w:rsid w:val="081D7965"/>
    <w:rsid w:val="08234207"/>
    <w:rsid w:val="08AC4413"/>
    <w:rsid w:val="09333B93"/>
    <w:rsid w:val="0A6F5C42"/>
    <w:rsid w:val="0ACD0F99"/>
    <w:rsid w:val="0C5028C5"/>
    <w:rsid w:val="0C691C6B"/>
    <w:rsid w:val="0C747FFC"/>
    <w:rsid w:val="0C9C7D30"/>
    <w:rsid w:val="0CAC5DDE"/>
    <w:rsid w:val="0CF82450"/>
    <w:rsid w:val="0DD51BDF"/>
    <w:rsid w:val="0ECF1248"/>
    <w:rsid w:val="0EDA7DF6"/>
    <w:rsid w:val="0EF57DD9"/>
    <w:rsid w:val="0F0E1D39"/>
    <w:rsid w:val="0F544FA0"/>
    <w:rsid w:val="0F6A753A"/>
    <w:rsid w:val="0FA76F46"/>
    <w:rsid w:val="104A1713"/>
    <w:rsid w:val="10AA7159"/>
    <w:rsid w:val="10AC05E0"/>
    <w:rsid w:val="10B42666"/>
    <w:rsid w:val="113F3647"/>
    <w:rsid w:val="118A50A9"/>
    <w:rsid w:val="11D94B34"/>
    <w:rsid w:val="13617520"/>
    <w:rsid w:val="139556AA"/>
    <w:rsid w:val="13D31AD0"/>
    <w:rsid w:val="15C6535A"/>
    <w:rsid w:val="15FE6073"/>
    <w:rsid w:val="162B6EC9"/>
    <w:rsid w:val="179302C6"/>
    <w:rsid w:val="17F50AA0"/>
    <w:rsid w:val="18450216"/>
    <w:rsid w:val="18AF0959"/>
    <w:rsid w:val="19061005"/>
    <w:rsid w:val="190616EA"/>
    <w:rsid w:val="1A7C7BBA"/>
    <w:rsid w:val="1B7F5D92"/>
    <w:rsid w:val="1B821D10"/>
    <w:rsid w:val="1B88528B"/>
    <w:rsid w:val="1C656C23"/>
    <w:rsid w:val="1C97539D"/>
    <w:rsid w:val="1DA32633"/>
    <w:rsid w:val="1DD14C7E"/>
    <w:rsid w:val="1E2B6864"/>
    <w:rsid w:val="1E6E40C9"/>
    <w:rsid w:val="202E1ECD"/>
    <w:rsid w:val="206F2FBA"/>
    <w:rsid w:val="20D342A7"/>
    <w:rsid w:val="21F3711C"/>
    <w:rsid w:val="22477065"/>
    <w:rsid w:val="227C194C"/>
    <w:rsid w:val="23C73AC1"/>
    <w:rsid w:val="24362A11"/>
    <w:rsid w:val="258E1047"/>
    <w:rsid w:val="25F71DA7"/>
    <w:rsid w:val="26103349"/>
    <w:rsid w:val="265E17FD"/>
    <w:rsid w:val="26623615"/>
    <w:rsid w:val="26AD2EAA"/>
    <w:rsid w:val="26E86F48"/>
    <w:rsid w:val="27033293"/>
    <w:rsid w:val="2719205D"/>
    <w:rsid w:val="27337D38"/>
    <w:rsid w:val="27AE1D81"/>
    <w:rsid w:val="27D57880"/>
    <w:rsid w:val="2848716B"/>
    <w:rsid w:val="28963BBE"/>
    <w:rsid w:val="28B06792"/>
    <w:rsid w:val="29260FCF"/>
    <w:rsid w:val="2957378D"/>
    <w:rsid w:val="297079EB"/>
    <w:rsid w:val="29CB782B"/>
    <w:rsid w:val="2AA35CAF"/>
    <w:rsid w:val="2B1B0B6A"/>
    <w:rsid w:val="2BA450FD"/>
    <w:rsid w:val="2C04240E"/>
    <w:rsid w:val="2C0507EE"/>
    <w:rsid w:val="2C3625EB"/>
    <w:rsid w:val="2D116222"/>
    <w:rsid w:val="2D7C6AF8"/>
    <w:rsid w:val="2E5471BA"/>
    <w:rsid w:val="305314AE"/>
    <w:rsid w:val="310B747E"/>
    <w:rsid w:val="312009F1"/>
    <w:rsid w:val="3175483C"/>
    <w:rsid w:val="318456E6"/>
    <w:rsid w:val="319C7A52"/>
    <w:rsid w:val="32D913A4"/>
    <w:rsid w:val="33161455"/>
    <w:rsid w:val="33906D79"/>
    <w:rsid w:val="33D93B24"/>
    <w:rsid w:val="343F08F2"/>
    <w:rsid w:val="34414EBD"/>
    <w:rsid w:val="344E6818"/>
    <w:rsid w:val="353F0CAC"/>
    <w:rsid w:val="356D2E93"/>
    <w:rsid w:val="35A21882"/>
    <w:rsid w:val="369D659F"/>
    <w:rsid w:val="36BE7C03"/>
    <w:rsid w:val="37151EFB"/>
    <w:rsid w:val="380F4D9E"/>
    <w:rsid w:val="38797F1B"/>
    <w:rsid w:val="38D44DA9"/>
    <w:rsid w:val="38F5427F"/>
    <w:rsid w:val="391242B4"/>
    <w:rsid w:val="392F4CCD"/>
    <w:rsid w:val="398A772A"/>
    <w:rsid w:val="3AF32948"/>
    <w:rsid w:val="3B804607"/>
    <w:rsid w:val="3BF35F7C"/>
    <w:rsid w:val="3D2E0A2F"/>
    <w:rsid w:val="3D730833"/>
    <w:rsid w:val="404D7992"/>
    <w:rsid w:val="40603EF4"/>
    <w:rsid w:val="406849B5"/>
    <w:rsid w:val="4114757E"/>
    <w:rsid w:val="41765CFF"/>
    <w:rsid w:val="4267663F"/>
    <w:rsid w:val="429A189A"/>
    <w:rsid w:val="42AF6075"/>
    <w:rsid w:val="42D5358B"/>
    <w:rsid w:val="42E2635F"/>
    <w:rsid w:val="44120CF3"/>
    <w:rsid w:val="44794704"/>
    <w:rsid w:val="449D4064"/>
    <w:rsid w:val="44A21D28"/>
    <w:rsid w:val="44D513AD"/>
    <w:rsid w:val="468C52A3"/>
    <w:rsid w:val="48056D35"/>
    <w:rsid w:val="484E5CC4"/>
    <w:rsid w:val="48833683"/>
    <w:rsid w:val="48BA543F"/>
    <w:rsid w:val="498E0EA0"/>
    <w:rsid w:val="49CA28C9"/>
    <w:rsid w:val="49F07174"/>
    <w:rsid w:val="4AA55CB6"/>
    <w:rsid w:val="4AE821AB"/>
    <w:rsid w:val="4B027033"/>
    <w:rsid w:val="4B550F4E"/>
    <w:rsid w:val="4B577BF4"/>
    <w:rsid w:val="4C8A65E8"/>
    <w:rsid w:val="4CF95E49"/>
    <w:rsid w:val="4D493070"/>
    <w:rsid w:val="4DE9540D"/>
    <w:rsid w:val="4E300340"/>
    <w:rsid w:val="501F4922"/>
    <w:rsid w:val="50B043DF"/>
    <w:rsid w:val="51026674"/>
    <w:rsid w:val="51AA50E5"/>
    <w:rsid w:val="525E2BBB"/>
    <w:rsid w:val="53475065"/>
    <w:rsid w:val="53697C37"/>
    <w:rsid w:val="53860869"/>
    <w:rsid w:val="541E2336"/>
    <w:rsid w:val="543C7F40"/>
    <w:rsid w:val="54DD0226"/>
    <w:rsid w:val="54F90E4E"/>
    <w:rsid w:val="551B6A3D"/>
    <w:rsid w:val="55270AEE"/>
    <w:rsid w:val="554808FF"/>
    <w:rsid w:val="55B82438"/>
    <w:rsid w:val="55C550E2"/>
    <w:rsid w:val="55E02A2F"/>
    <w:rsid w:val="55FA7D0D"/>
    <w:rsid w:val="563A4AD2"/>
    <w:rsid w:val="56620920"/>
    <w:rsid w:val="56A552B9"/>
    <w:rsid w:val="56FE6DA8"/>
    <w:rsid w:val="57696A3D"/>
    <w:rsid w:val="58726A54"/>
    <w:rsid w:val="59D550E9"/>
    <w:rsid w:val="5ADC5F72"/>
    <w:rsid w:val="5BFD39D7"/>
    <w:rsid w:val="5C3E6D02"/>
    <w:rsid w:val="5C9658D1"/>
    <w:rsid w:val="5CEC1569"/>
    <w:rsid w:val="5CF86D2C"/>
    <w:rsid w:val="5CF86EE5"/>
    <w:rsid w:val="5D132369"/>
    <w:rsid w:val="5D460377"/>
    <w:rsid w:val="5DB14928"/>
    <w:rsid w:val="5E1A26BF"/>
    <w:rsid w:val="5EA46C19"/>
    <w:rsid w:val="5F955A84"/>
    <w:rsid w:val="5FBE6B8C"/>
    <w:rsid w:val="60423B65"/>
    <w:rsid w:val="60432DDC"/>
    <w:rsid w:val="6085771A"/>
    <w:rsid w:val="608C5910"/>
    <w:rsid w:val="61E46ECC"/>
    <w:rsid w:val="622E33B4"/>
    <w:rsid w:val="629A4291"/>
    <w:rsid w:val="629E1539"/>
    <w:rsid w:val="63CB5EA0"/>
    <w:rsid w:val="63FB345D"/>
    <w:rsid w:val="6404092E"/>
    <w:rsid w:val="64CC3784"/>
    <w:rsid w:val="655D2EA4"/>
    <w:rsid w:val="65F80599"/>
    <w:rsid w:val="65FE631F"/>
    <w:rsid w:val="662F1573"/>
    <w:rsid w:val="671334BE"/>
    <w:rsid w:val="69C4105E"/>
    <w:rsid w:val="69D935D0"/>
    <w:rsid w:val="69F55D1E"/>
    <w:rsid w:val="6A270136"/>
    <w:rsid w:val="6A313D31"/>
    <w:rsid w:val="6AF10EEE"/>
    <w:rsid w:val="6B253E26"/>
    <w:rsid w:val="6B4E058B"/>
    <w:rsid w:val="6C040A1B"/>
    <w:rsid w:val="6C3A1740"/>
    <w:rsid w:val="6C4378E3"/>
    <w:rsid w:val="6D590C2D"/>
    <w:rsid w:val="6D8F5D27"/>
    <w:rsid w:val="6DF23E02"/>
    <w:rsid w:val="6E974648"/>
    <w:rsid w:val="6EE75201"/>
    <w:rsid w:val="6F0943A6"/>
    <w:rsid w:val="6F351C52"/>
    <w:rsid w:val="6FB22E18"/>
    <w:rsid w:val="704C63F6"/>
    <w:rsid w:val="70FA7E9A"/>
    <w:rsid w:val="728E10F7"/>
    <w:rsid w:val="73152883"/>
    <w:rsid w:val="732470DD"/>
    <w:rsid w:val="74807455"/>
    <w:rsid w:val="752260BE"/>
    <w:rsid w:val="756F5686"/>
    <w:rsid w:val="76326A77"/>
    <w:rsid w:val="76CC3A49"/>
    <w:rsid w:val="772C4C49"/>
    <w:rsid w:val="79723E7B"/>
    <w:rsid w:val="79AB6DA8"/>
    <w:rsid w:val="7A865059"/>
    <w:rsid w:val="7B1700E1"/>
    <w:rsid w:val="7BB360BF"/>
    <w:rsid w:val="7C385A2C"/>
    <w:rsid w:val="7C96111A"/>
    <w:rsid w:val="7CB41931"/>
    <w:rsid w:val="7CEF5DA0"/>
    <w:rsid w:val="7DD777BE"/>
    <w:rsid w:val="7DF26109"/>
    <w:rsid w:val="7E0A16F0"/>
    <w:rsid w:val="7F880402"/>
    <w:rsid w:val="7FAF2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0"/>
    <w:rPr>
      <w:sz w:val="18"/>
      <w:szCs w:val="18"/>
    </w:rPr>
  </w:style>
  <w:style w:type="character" w:customStyle="1" w:styleId="8">
    <w:name w:val="页脚 Char"/>
    <w:basedOn w:val="6"/>
    <w:link w:val="2"/>
    <w:qFormat/>
    <w:uiPriority w:val="0"/>
    <w:rPr>
      <w:sz w:val="18"/>
      <w:szCs w:val="18"/>
    </w:rPr>
  </w:style>
  <w:style w:type="paragraph" w:customStyle="1" w:styleId="9">
    <w:name w:val="Default"/>
    <w:qFormat/>
    <w:uiPriority w:val="0"/>
    <w:pPr>
      <w:widowControl w:val="0"/>
      <w:autoSpaceDE w:val="0"/>
      <w:autoSpaceDN w:val="0"/>
      <w:adjustRightInd w:val="0"/>
    </w:pPr>
    <w:rPr>
      <w:rFonts w:ascii="Calibri" w:hAnsi="Calibri" w:cs="Calibri" w:eastAsiaTheme="minorEastAsia"/>
      <w:color w:val="000000"/>
      <w:sz w:val="24"/>
      <w:szCs w:val="24"/>
      <w:lang w:val="en-US" w:eastAsia="zh-CN" w:bidi="ar-SA"/>
    </w:rPr>
  </w:style>
  <w:style w:type="paragraph" w:customStyle="1" w:styleId="10">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27BCC7-3977-4B0C-A6EF-A778C2A2C95B}">
  <ds:schemaRefs/>
</ds:datastoreItem>
</file>

<file path=docProps/app.xml><?xml version="1.0" encoding="utf-8"?>
<Properties xmlns="http://schemas.openxmlformats.org/officeDocument/2006/extended-properties" xmlns:vt="http://schemas.openxmlformats.org/officeDocument/2006/docPropsVTypes">
  <Template>Normal</Template>
  <Company>HP</Company>
  <Pages>8</Pages>
  <Words>592</Words>
  <Characters>3377</Characters>
  <Lines>28</Lines>
  <Paragraphs>7</Paragraphs>
  <TotalTime>0</TotalTime>
  <ScaleCrop>false</ScaleCrop>
  <LinksUpToDate>false</LinksUpToDate>
  <CharactersWithSpaces>3962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2015-12-29T02:45:00Z</dcterms:created>
  <dc:creator>Administrator</dc:creator>
  <cp:lastModifiedBy>王吉</cp:lastModifiedBy>
  <cp:lastPrinted>2019-01-09T09:17:00Z</cp:lastPrinted>
  <dcterms:modified xsi:type="dcterms:W3CDTF">2021-01-15T08:22:13Z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RubyTemplateID" linkTarget="0">
    <vt:lpwstr>6</vt:lpwstr>
  </property>
</Properties>
</file>