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heme="majorEastAsia"/>
          <w:b/>
          <w:bCs/>
          <w:sz w:val="32"/>
          <w:szCs w:val="32"/>
        </w:rPr>
      </w:pPr>
      <w:r>
        <w:rPr>
          <w:rFonts w:hint="eastAsia" w:ascii="黑体" w:hAnsi="黑体" w:eastAsia="黑体" w:cstheme="majorEastAsia"/>
          <w:b/>
          <w:bCs/>
          <w:sz w:val="32"/>
          <w:szCs w:val="32"/>
          <w:lang w:val="en-US" w:eastAsia="zh-CN"/>
        </w:rPr>
        <w:t>2021</w:t>
      </w:r>
      <w:r>
        <w:rPr>
          <w:rFonts w:hint="eastAsia" w:ascii="黑体" w:hAnsi="黑体" w:eastAsia="黑体" w:cstheme="majorEastAsia"/>
          <w:b/>
          <w:bCs/>
          <w:sz w:val="32"/>
          <w:szCs w:val="32"/>
        </w:rPr>
        <w:t>年经济与管理学院</w:t>
      </w:r>
    </w:p>
    <w:p>
      <w:pPr>
        <w:spacing w:line="360" w:lineRule="auto"/>
        <w:jc w:val="center"/>
        <w:rPr>
          <w:rFonts w:ascii="黑体" w:hAnsi="黑体" w:eastAsia="黑体" w:cstheme="majorEastAsia"/>
          <w:b/>
          <w:bCs/>
          <w:sz w:val="32"/>
          <w:szCs w:val="32"/>
        </w:rPr>
      </w:pPr>
      <w:r>
        <w:rPr>
          <w:rFonts w:hint="eastAsia" w:ascii="黑体" w:hAnsi="黑体" w:eastAsia="黑体" w:cstheme="majorEastAsia"/>
          <w:b/>
          <w:bCs/>
          <w:sz w:val="32"/>
          <w:szCs w:val="32"/>
        </w:rPr>
        <w:t>研究生学业奖学金评定实施细则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line="400" w:lineRule="exact"/>
        <w:rPr>
          <w:rFonts w:asciiTheme="minorEastAsia" w:hAnsiTheme="minorEastAsia"/>
          <w:b/>
          <w:bCs/>
          <w:sz w:val="28"/>
          <w:szCs w:val="28"/>
        </w:rPr>
      </w:pPr>
      <w:r>
        <w:rPr>
          <w:rFonts w:asciiTheme="minorEastAsia" w:hAnsiTheme="minorEastAsia"/>
          <w:b/>
          <w:bCs/>
          <w:sz w:val="28"/>
          <w:szCs w:val="28"/>
        </w:rPr>
        <w:t>一、</w:t>
      </w:r>
      <w:r>
        <w:rPr>
          <w:rFonts w:asciiTheme="minorEastAsia" w:hAnsiTheme="minorEastAsia"/>
          <w:b/>
          <w:bCs/>
          <w:sz w:val="24"/>
          <w:szCs w:val="24"/>
        </w:rPr>
        <w:t>申请范围</w:t>
      </w:r>
    </w:p>
    <w:p>
      <w:pPr>
        <w:topLinePunct/>
        <w:adjustRightInd w:val="0"/>
        <w:spacing w:line="400" w:lineRule="exact"/>
        <w:ind w:firstLine="480" w:firstLineChars="200"/>
        <w:rPr>
          <w:sz w:val="24"/>
        </w:rPr>
      </w:pPr>
      <w:r>
        <w:rPr>
          <w:rFonts w:hint="eastAsia"/>
          <w:sz w:val="24"/>
        </w:rPr>
        <w:t>1、参评研究生应是全日制研究生，不含定向（委培）研究生。</w:t>
      </w:r>
    </w:p>
    <w:p>
      <w:pPr>
        <w:topLinePunct/>
        <w:adjustRightInd w:val="0"/>
        <w:spacing w:line="400" w:lineRule="exact"/>
        <w:ind w:firstLine="480" w:firstLineChars="200"/>
        <w:rPr>
          <w:sz w:val="24"/>
        </w:rPr>
      </w:pPr>
      <w:r>
        <w:rPr>
          <w:rFonts w:hint="eastAsia"/>
          <w:sz w:val="24"/>
        </w:rPr>
        <w:t>2、参评研究生应在学校规定的学制年限内，直博生参评年级为一至四年级。</w:t>
      </w:r>
    </w:p>
    <w:p>
      <w:pPr>
        <w:topLinePunct/>
        <w:adjustRightInd w:val="0"/>
        <w:spacing w:line="400" w:lineRule="exact"/>
        <w:ind w:firstLine="480" w:firstLineChars="200"/>
        <w:rPr>
          <w:sz w:val="24"/>
        </w:rPr>
      </w:pPr>
      <w:r>
        <w:rPr>
          <w:rFonts w:hint="eastAsia"/>
          <w:sz w:val="24"/>
        </w:rPr>
        <w:t>3、一年级博士研究生（含直博生）全部按三等学业奖学金评定。</w:t>
      </w:r>
    </w:p>
    <w:p>
      <w:pPr>
        <w:pStyle w:val="5"/>
        <w:spacing w:line="400" w:lineRule="exact"/>
        <w:rPr>
          <w:b/>
          <w:color w:val="auto"/>
        </w:rPr>
      </w:pPr>
      <w:r>
        <w:rPr>
          <w:rFonts w:hAnsi="宋体"/>
          <w:b/>
          <w:bCs/>
          <w:color w:val="auto"/>
        </w:rPr>
        <w:t>二、</w:t>
      </w:r>
      <w:r>
        <w:rPr>
          <w:rFonts w:hint="eastAsia"/>
          <w:b/>
          <w:color w:val="auto"/>
        </w:rPr>
        <w:t>有下列情况之一者，取消当年评奖资格</w:t>
      </w:r>
    </w:p>
    <w:p>
      <w:pPr>
        <w:pStyle w:val="6"/>
        <w:numPr>
          <w:ilvl w:val="0"/>
          <w:numId w:val="1"/>
        </w:numPr>
        <w:spacing w:line="400" w:lineRule="exact"/>
        <w:ind w:firstLineChars="0"/>
        <w:rPr>
          <w:sz w:val="24"/>
          <w:szCs w:val="24"/>
        </w:rPr>
      </w:pPr>
      <w:r>
        <w:rPr>
          <w:rFonts w:hint="eastAsia"/>
          <w:sz w:val="24"/>
          <w:szCs w:val="24"/>
        </w:rPr>
        <w:t>违反国家法律、校纪校规受到纪律处分者；</w:t>
      </w:r>
    </w:p>
    <w:p>
      <w:pPr>
        <w:pStyle w:val="6"/>
        <w:numPr>
          <w:ilvl w:val="0"/>
          <w:numId w:val="1"/>
        </w:numPr>
        <w:spacing w:line="400" w:lineRule="exact"/>
        <w:ind w:firstLineChars="0"/>
        <w:rPr>
          <w:sz w:val="24"/>
          <w:szCs w:val="24"/>
        </w:rPr>
      </w:pPr>
      <w:r>
        <w:rPr>
          <w:rFonts w:hint="eastAsia"/>
          <w:sz w:val="24"/>
          <w:szCs w:val="24"/>
        </w:rPr>
        <w:t>本人当年未提出申请者；</w:t>
      </w:r>
    </w:p>
    <w:p>
      <w:pPr>
        <w:pStyle w:val="6"/>
        <w:numPr>
          <w:ilvl w:val="0"/>
          <w:numId w:val="1"/>
        </w:numPr>
        <w:spacing w:line="400" w:lineRule="exact"/>
        <w:ind w:firstLineChars="0"/>
        <w:rPr>
          <w:sz w:val="24"/>
          <w:szCs w:val="24"/>
        </w:rPr>
      </w:pPr>
      <w:r>
        <w:rPr>
          <w:rFonts w:hint="eastAsia"/>
          <w:sz w:val="24"/>
          <w:szCs w:val="24"/>
        </w:rPr>
        <w:t>导师认为不宜参评者；</w:t>
      </w:r>
    </w:p>
    <w:p>
      <w:pPr>
        <w:pStyle w:val="6"/>
        <w:tabs>
          <w:tab w:val="left" w:pos="1200"/>
        </w:tabs>
        <w:spacing w:line="400" w:lineRule="exact"/>
        <w:ind w:left="465" w:firstLine="0" w:firstLineChars="0"/>
        <w:rPr>
          <w:rFonts w:ascii="宋体" w:hAnsi="宋体"/>
          <w:bCs/>
          <w:sz w:val="24"/>
        </w:rPr>
      </w:pPr>
      <w:r>
        <w:rPr>
          <w:rFonts w:hint="eastAsia" w:ascii="宋体" w:hAnsi="宋体"/>
          <w:bCs/>
          <w:sz w:val="24"/>
        </w:rPr>
        <w:t>4、博士研究生公派留学</w:t>
      </w:r>
      <w:r>
        <w:rPr>
          <w:rFonts w:ascii="宋体" w:hAnsi="宋体"/>
          <w:bCs/>
          <w:sz w:val="24"/>
        </w:rPr>
        <w:t>直接攻读博士学位者；</w:t>
      </w:r>
    </w:p>
    <w:p>
      <w:pPr>
        <w:pStyle w:val="6"/>
        <w:tabs>
          <w:tab w:val="left" w:pos="1200"/>
        </w:tabs>
        <w:spacing w:line="400" w:lineRule="exact"/>
        <w:ind w:left="465" w:firstLine="0" w:firstLineChars="0"/>
        <w:rPr>
          <w:rFonts w:ascii="宋体" w:hAnsi="宋体"/>
          <w:bCs/>
          <w:sz w:val="24"/>
        </w:rPr>
      </w:pPr>
      <w:r>
        <w:rPr>
          <w:rFonts w:hint="eastAsia" w:ascii="宋体" w:hAnsi="宋体"/>
          <w:bCs/>
          <w:sz w:val="24"/>
        </w:rPr>
        <w:t>5、硕博连读研究生由于已享受当年博士生学业奖学金，因此不参与硕士生奖学金评定；</w:t>
      </w:r>
    </w:p>
    <w:p>
      <w:pPr>
        <w:numPr>
          <w:ilvl w:val="0"/>
          <w:numId w:val="2"/>
        </w:numPr>
        <w:spacing w:after="120" w:afterLines="50" w:line="400" w:lineRule="exact"/>
        <w:rPr>
          <w:rFonts w:ascii="宋体" w:eastAsia="宋体" w:cs="宋体"/>
          <w:b/>
          <w:sz w:val="24"/>
          <w:szCs w:val="24"/>
        </w:rPr>
      </w:pPr>
      <w:r>
        <w:rPr>
          <w:rFonts w:hint="eastAsia" w:ascii="宋体" w:eastAsia="宋体" w:cs="宋体"/>
          <w:b/>
          <w:sz w:val="24"/>
          <w:szCs w:val="24"/>
        </w:rPr>
        <w:t>学院研究生奖学金评审委员会</w:t>
      </w:r>
    </w:p>
    <w:p>
      <w:pPr>
        <w:spacing w:line="360" w:lineRule="auto"/>
        <w:ind w:firstLine="480" w:firstLineChars="200"/>
        <w:rPr>
          <w:rFonts w:hint="eastAsia" w:ascii="宋体" w:eastAsia="宋体" w:cs="宋体"/>
          <w:sz w:val="24"/>
          <w:szCs w:val="24"/>
        </w:rPr>
      </w:pPr>
      <w:r>
        <w:rPr>
          <w:rFonts w:hint="eastAsia" w:ascii="宋体" w:eastAsia="宋体" w:cs="宋体"/>
          <w:sz w:val="24"/>
          <w:szCs w:val="24"/>
        </w:rPr>
        <w:t>主任委员：马永开（院长）</w:t>
      </w:r>
    </w:p>
    <w:p>
      <w:pPr>
        <w:spacing w:line="360" w:lineRule="auto"/>
        <w:ind w:firstLine="480" w:firstLineChars="200"/>
        <w:rPr>
          <w:rFonts w:hint="default" w:ascii="宋体" w:eastAsia="宋体" w:cs="宋体"/>
          <w:sz w:val="24"/>
          <w:szCs w:val="24"/>
          <w:lang w:val="en-US" w:eastAsia="zh-CN"/>
        </w:rPr>
      </w:pPr>
      <w:r>
        <w:rPr>
          <w:rFonts w:hint="eastAsia" w:ascii="宋体" w:eastAsia="宋体" w:cs="宋体"/>
          <w:sz w:val="24"/>
          <w:szCs w:val="24"/>
          <w:lang w:val="en-US" w:eastAsia="zh-CN"/>
        </w:rPr>
        <w:t>副主任委员：</w:t>
      </w:r>
      <w:r>
        <w:rPr>
          <w:rFonts w:hint="eastAsia" w:ascii="宋体" w:eastAsia="宋体" w:cs="宋体"/>
          <w:sz w:val="24"/>
          <w:szCs w:val="24"/>
        </w:rPr>
        <w:t>陈旭（副院长）、潘杨（副书记）</w:t>
      </w:r>
      <w:r>
        <w:rPr>
          <w:rFonts w:hint="eastAsia" w:ascii="宋体" w:eastAsia="宋体" w:cs="宋体"/>
          <w:sz w:val="24"/>
          <w:szCs w:val="24"/>
          <w:lang w:eastAsia="zh-CN"/>
        </w:rPr>
        <w:t>、</w:t>
      </w:r>
      <w:r>
        <w:rPr>
          <w:rFonts w:hint="eastAsia" w:ascii="宋体" w:eastAsia="宋体" w:cs="宋体"/>
          <w:sz w:val="24"/>
          <w:szCs w:val="24"/>
        </w:rPr>
        <w:t>肖延高（副院长）</w:t>
      </w:r>
    </w:p>
    <w:p>
      <w:pPr>
        <w:spacing w:line="360" w:lineRule="auto"/>
        <w:ind w:firstLine="480" w:firstLineChars="200"/>
        <w:rPr>
          <w:rFonts w:ascii="宋体" w:eastAsia="宋体" w:cs="宋体"/>
          <w:sz w:val="24"/>
          <w:szCs w:val="24"/>
        </w:rPr>
      </w:pPr>
      <w:r>
        <w:rPr>
          <w:rFonts w:hint="eastAsia" w:ascii="宋体" w:eastAsia="宋体" w:cs="宋体"/>
          <w:sz w:val="24"/>
          <w:szCs w:val="24"/>
        </w:rPr>
        <w:t>委员：艾兴政（教授、系主任）、宋艳（教授、系主任）、李亚静（教授、系主任）、方佳明（教授、副系主任）、钱宇（副教授、系支部书记）、刘文彬（副教授、系支部书记）、尹宇明（副教授、系支部书记）、王敏（副教授、副系主任）、陈朝龙（副教授、副系主任）、马捷（副教授、副系主任）、陈德富（MBA项目主任）、</w:t>
      </w:r>
      <w:r>
        <w:rPr>
          <w:rFonts w:hint="eastAsia" w:ascii="宋体" w:eastAsia="宋体" w:cs="宋体"/>
          <w:sz w:val="24"/>
          <w:szCs w:val="24"/>
          <w:lang w:val="en-US" w:eastAsia="zh-CN"/>
        </w:rPr>
        <w:t>孔刚、</w:t>
      </w:r>
      <w:r>
        <w:rPr>
          <w:rFonts w:hint="eastAsia" w:ascii="宋体" w:eastAsia="宋体" w:cs="宋体"/>
          <w:sz w:val="24"/>
          <w:szCs w:val="24"/>
        </w:rPr>
        <w:t>陈莉</w:t>
      </w:r>
      <w:r>
        <w:rPr>
          <w:rFonts w:hint="eastAsia" w:ascii="宋体" w:eastAsia="宋体" w:cs="宋体"/>
          <w:sz w:val="24"/>
          <w:szCs w:val="24"/>
          <w:lang w:eastAsia="zh-CN"/>
        </w:rPr>
        <w:t>（</w:t>
      </w:r>
      <w:r>
        <w:rPr>
          <w:rFonts w:hint="eastAsia" w:ascii="宋体" w:eastAsia="宋体" w:cs="宋体"/>
          <w:sz w:val="24"/>
          <w:szCs w:val="24"/>
          <w:lang w:val="en-US" w:eastAsia="zh-CN"/>
        </w:rPr>
        <w:t>学生科科长</w:t>
      </w:r>
      <w:r>
        <w:rPr>
          <w:rFonts w:hint="eastAsia" w:ascii="宋体" w:eastAsia="宋体" w:cs="宋体"/>
          <w:sz w:val="24"/>
          <w:szCs w:val="24"/>
          <w:lang w:eastAsia="zh-CN"/>
        </w:rPr>
        <w:t>）</w:t>
      </w:r>
      <w:r>
        <w:rPr>
          <w:rFonts w:hint="eastAsia" w:ascii="宋体" w:eastAsia="宋体" w:cs="宋体"/>
          <w:sz w:val="24"/>
          <w:szCs w:val="24"/>
        </w:rPr>
        <w:t>、刘军（研究生辅导员）、刘刚（研究生辅导员）、</w:t>
      </w:r>
      <w:r>
        <w:rPr>
          <w:rFonts w:hint="eastAsia" w:ascii="宋体" w:eastAsia="宋体" w:cs="宋体"/>
          <w:sz w:val="24"/>
          <w:szCs w:val="24"/>
          <w:lang w:val="en-US" w:eastAsia="zh-CN"/>
        </w:rPr>
        <w:t>刘成圆（</w:t>
      </w:r>
      <w:r>
        <w:rPr>
          <w:rFonts w:hint="eastAsia" w:ascii="宋体" w:eastAsia="宋体" w:cs="宋体"/>
          <w:sz w:val="24"/>
          <w:szCs w:val="24"/>
        </w:rPr>
        <w:t>研究生辅导员</w:t>
      </w:r>
      <w:r>
        <w:rPr>
          <w:rFonts w:hint="eastAsia" w:ascii="宋体" w:eastAsia="宋体" w:cs="宋体"/>
          <w:sz w:val="24"/>
          <w:szCs w:val="24"/>
          <w:lang w:val="en-US" w:eastAsia="zh-CN"/>
        </w:rPr>
        <w:t>）、</w:t>
      </w:r>
      <w:r>
        <w:rPr>
          <w:rFonts w:hint="eastAsia" w:ascii="宋体" w:eastAsia="宋体" w:cs="宋体"/>
          <w:sz w:val="24"/>
          <w:szCs w:val="24"/>
        </w:rPr>
        <w:t>教师代表、学生代表（不少于两名）</w:t>
      </w:r>
    </w:p>
    <w:p>
      <w:pPr>
        <w:spacing w:line="400" w:lineRule="exact"/>
        <w:rPr>
          <w:rFonts w:ascii="宋体" w:hAnsi="宋体" w:eastAsia="宋体"/>
          <w:b/>
          <w:bCs/>
          <w:sz w:val="24"/>
          <w:szCs w:val="24"/>
        </w:rPr>
      </w:pPr>
      <w:r>
        <w:rPr>
          <w:rFonts w:ascii="宋体" w:hAnsi="宋体" w:eastAsia="宋体"/>
          <w:b/>
          <w:bCs/>
          <w:sz w:val="24"/>
          <w:szCs w:val="24"/>
        </w:rPr>
        <w:t>四、基本流程</w:t>
      </w:r>
    </w:p>
    <w:p>
      <w:pPr>
        <w:spacing w:line="400" w:lineRule="exact"/>
        <w:ind w:firstLine="480" w:firstLineChars="200"/>
        <w:rPr>
          <w:sz w:val="24"/>
        </w:rPr>
      </w:pPr>
      <w:r>
        <w:rPr>
          <w:rFonts w:hint="eastAsia"/>
          <w:sz w:val="24"/>
        </w:rPr>
        <w:t>1、学生</w:t>
      </w:r>
      <w:r>
        <w:rPr>
          <w:sz w:val="24"/>
        </w:rPr>
        <w:t>提出申请</w:t>
      </w:r>
      <w:r>
        <w:rPr>
          <w:rFonts w:hint="eastAsia"/>
          <w:sz w:val="24"/>
        </w:rPr>
        <w:t>；</w:t>
      </w:r>
    </w:p>
    <w:p>
      <w:pPr>
        <w:spacing w:line="400" w:lineRule="exact"/>
        <w:ind w:firstLine="480" w:firstLineChars="200"/>
        <w:rPr>
          <w:sz w:val="24"/>
        </w:rPr>
      </w:pPr>
      <w:r>
        <w:rPr>
          <w:rFonts w:hint="eastAsia"/>
          <w:sz w:val="24"/>
        </w:rPr>
        <w:t>2、学院对</w:t>
      </w:r>
      <w:r>
        <w:rPr>
          <w:sz w:val="24"/>
        </w:rPr>
        <w:t>申请人进行资格审查</w:t>
      </w:r>
      <w:r>
        <w:rPr>
          <w:rFonts w:hint="eastAsia"/>
          <w:sz w:val="24"/>
        </w:rPr>
        <w:t>；</w:t>
      </w:r>
    </w:p>
    <w:p>
      <w:pPr>
        <w:spacing w:line="400" w:lineRule="exact"/>
        <w:ind w:firstLine="480" w:firstLineChars="200"/>
        <w:rPr>
          <w:sz w:val="24"/>
        </w:rPr>
      </w:pPr>
      <w:r>
        <w:rPr>
          <w:sz w:val="24"/>
        </w:rPr>
        <w:t>3</w:t>
      </w:r>
      <w:r>
        <w:rPr>
          <w:rFonts w:hint="eastAsia"/>
          <w:sz w:val="24"/>
        </w:rPr>
        <w:t>、学院奖学金评审委员会组织评定；</w:t>
      </w:r>
    </w:p>
    <w:p>
      <w:pPr>
        <w:spacing w:line="400" w:lineRule="exact"/>
        <w:ind w:firstLine="480" w:firstLineChars="200"/>
        <w:rPr>
          <w:sz w:val="24"/>
        </w:rPr>
      </w:pPr>
      <w:r>
        <w:rPr>
          <w:sz w:val="24"/>
        </w:rPr>
        <w:t>4</w:t>
      </w:r>
      <w:r>
        <w:rPr>
          <w:rFonts w:hint="eastAsia"/>
          <w:sz w:val="24"/>
        </w:rPr>
        <w:t>、</w:t>
      </w:r>
      <w:r>
        <w:rPr>
          <w:sz w:val="24"/>
        </w:rPr>
        <w:t>公示</w:t>
      </w:r>
      <w:r>
        <w:rPr>
          <w:rFonts w:hint="eastAsia"/>
          <w:sz w:val="24"/>
        </w:rPr>
        <w:t>学院初评推荐</w:t>
      </w:r>
      <w:r>
        <w:rPr>
          <w:sz w:val="24"/>
        </w:rPr>
        <w:t>结果</w:t>
      </w:r>
      <w:r>
        <w:rPr>
          <w:rFonts w:hint="eastAsia"/>
          <w:sz w:val="24"/>
        </w:rPr>
        <w:t>；</w:t>
      </w:r>
    </w:p>
    <w:p>
      <w:pPr>
        <w:spacing w:line="400" w:lineRule="exact"/>
        <w:ind w:firstLine="480" w:firstLineChars="200"/>
        <w:rPr>
          <w:sz w:val="24"/>
        </w:rPr>
      </w:pPr>
      <w:r>
        <w:rPr>
          <w:rFonts w:hint="eastAsia"/>
          <w:sz w:val="24"/>
        </w:rPr>
        <w:t>5、在公示</w:t>
      </w:r>
      <w:r>
        <w:rPr>
          <w:sz w:val="24"/>
        </w:rPr>
        <w:t>期内，如有异议</w:t>
      </w:r>
      <w:r>
        <w:rPr>
          <w:rFonts w:hint="eastAsia"/>
          <w:sz w:val="24"/>
        </w:rPr>
        <w:t>可进行</w:t>
      </w:r>
      <w:r>
        <w:rPr>
          <w:sz w:val="24"/>
        </w:rPr>
        <w:t>申诉</w:t>
      </w:r>
      <w:r>
        <w:rPr>
          <w:rFonts w:hint="eastAsia"/>
          <w:sz w:val="24"/>
        </w:rPr>
        <w:t>；</w:t>
      </w:r>
    </w:p>
    <w:p>
      <w:pPr>
        <w:spacing w:line="400" w:lineRule="exact"/>
        <w:ind w:left="480"/>
        <w:rPr>
          <w:rFonts w:ascii="宋体" w:hAnsi="宋体" w:eastAsia="宋体"/>
          <w:sz w:val="24"/>
        </w:rPr>
      </w:pPr>
      <w:r>
        <w:rPr>
          <w:rFonts w:hint="eastAsia"/>
          <w:sz w:val="24"/>
        </w:rPr>
        <w:t>6、将学院初评</w:t>
      </w:r>
      <w:r>
        <w:rPr>
          <w:sz w:val="24"/>
        </w:rPr>
        <w:t>推荐结果报送研究生院审核。</w:t>
      </w:r>
    </w:p>
    <w:p>
      <w:pPr>
        <w:spacing w:line="400" w:lineRule="exact"/>
        <w:rPr>
          <w:b/>
          <w:bCs/>
          <w:sz w:val="24"/>
        </w:rPr>
      </w:pPr>
      <w:r>
        <w:rPr>
          <w:rFonts w:hint="eastAsia"/>
          <w:b/>
          <w:bCs/>
          <w:sz w:val="24"/>
        </w:rPr>
        <w:t>五</w:t>
      </w:r>
      <w:r>
        <w:rPr>
          <w:b/>
          <w:bCs/>
          <w:sz w:val="24"/>
        </w:rPr>
        <w:t>、名额分配方式</w:t>
      </w:r>
    </w:p>
    <w:p>
      <w:pPr>
        <w:spacing w:line="400" w:lineRule="exact"/>
        <w:ind w:left="480" w:firstLine="480" w:firstLineChars="200"/>
        <w:rPr>
          <w:rFonts w:asciiTheme="minorEastAsia" w:hAnsiTheme="minorEastAsia"/>
          <w:sz w:val="24"/>
        </w:rPr>
      </w:pPr>
      <w:r>
        <w:rPr>
          <w:rFonts w:hint="eastAsia" w:asciiTheme="minorEastAsia" w:hAnsiTheme="minorEastAsia"/>
          <w:sz w:val="24"/>
        </w:rPr>
        <w:t>按照研究生手册《</w:t>
      </w:r>
      <w:r>
        <w:rPr>
          <w:rFonts w:hint="eastAsia" w:asciiTheme="minorEastAsia" w:hAnsiTheme="minorEastAsia"/>
          <w:sz w:val="24"/>
          <w:lang w:val="en-US" w:eastAsia="zh-CN"/>
        </w:rPr>
        <w:t>电子科技大学研究生学业奖学金评审管理办法</w:t>
      </w:r>
      <w:r>
        <w:rPr>
          <w:rFonts w:hint="eastAsia" w:asciiTheme="minorEastAsia" w:hAnsiTheme="minorEastAsia"/>
          <w:sz w:val="24"/>
        </w:rPr>
        <w:t>》，根据学校分配的名额，原则上以年级、专业学生为基数进行名额分配；博士研究生学业奖学金等级通过专场答辩会排序确定。</w:t>
      </w:r>
    </w:p>
    <w:p>
      <w:pPr>
        <w:spacing w:line="400" w:lineRule="exact"/>
        <w:rPr>
          <w:rFonts w:ascii="宋体" w:hAnsi="宋体" w:eastAsia="宋体"/>
          <w:b/>
          <w:bCs/>
          <w:sz w:val="24"/>
          <w:szCs w:val="24"/>
        </w:rPr>
      </w:pPr>
      <w:r>
        <w:rPr>
          <w:rFonts w:hint="eastAsia" w:ascii="宋体" w:hAnsi="宋体" w:eastAsia="宋体"/>
          <w:b/>
          <w:bCs/>
          <w:sz w:val="24"/>
          <w:szCs w:val="24"/>
        </w:rPr>
        <w:t>六</w:t>
      </w:r>
      <w:r>
        <w:rPr>
          <w:rFonts w:ascii="宋体" w:hAnsi="宋体" w:eastAsia="宋体"/>
          <w:b/>
          <w:bCs/>
          <w:sz w:val="24"/>
          <w:szCs w:val="24"/>
        </w:rPr>
        <w:t>、公示</w:t>
      </w:r>
    </w:p>
    <w:p>
      <w:pPr>
        <w:spacing w:line="400" w:lineRule="exact"/>
        <w:ind w:firstLine="480" w:firstLineChars="200"/>
        <w:rPr>
          <w:sz w:val="24"/>
        </w:rPr>
      </w:pPr>
      <w:r>
        <w:rPr>
          <w:rFonts w:hint="eastAsia" w:asciiTheme="minorEastAsia" w:hAnsiTheme="minorEastAsia"/>
          <w:sz w:val="24"/>
        </w:rPr>
        <w:t>1、</w:t>
      </w:r>
      <w:r>
        <w:rPr>
          <w:rFonts w:asciiTheme="minorEastAsia" w:hAnsiTheme="minorEastAsia"/>
          <w:sz w:val="24"/>
        </w:rPr>
        <w:t>公</w:t>
      </w:r>
      <w:r>
        <w:rPr>
          <w:rFonts w:hint="eastAsia"/>
          <w:sz w:val="24"/>
        </w:rPr>
        <w:t>示方式：学院官方网站：www.mgmt.uestc.edu.cn</w:t>
      </w:r>
    </w:p>
    <w:p>
      <w:pPr>
        <w:spacing w:line="400" w:lineRule="exact"/>
        <w:ind w:firstLine="480" w:firstLineChars="200"/>
        <w:rPr>
          <w:sz w:val="24"/>
        </w:rPr>
      </w:pPr>
      <w:r>
        <w:rPr>
          <w:rFonts w:hint="eastAsia"/>
          <w:sz w:val="24"/>
        </w:rPr>
        <w:t xml:space="preserve">2、其他补充公示方式：学院公告板、班级微信、qq群。 </w:t>
      </w:r>
    </w:p>
    <w:p>
      <w:pPr>
        <w:spacing w:line="400" w:lineRule="exact"/>
        <w:ind w:firstLine="480" w:firstLineChars="200"/>
        <w:rPr>
          <w:rFonts w:ascii="宋体" w:hAnsi="宋体" w:eastAsia="宋体"/>
          <w:sz w:val="24"/>
        </w:rPr>
      </w:pPr>
      <w:r>
        <w:rPr>
          <w:rFonts w:hint="eastAsia"/>
          <w:sz w:val="24"/>
        </w:rPr>
        <w:t>3、公</w:t>
      </w:r>
      <w:r>
        <w:rPr>
          <w:rFonts w:hint="eastAsia" w:asciiTheme="minorEastAsia" w:hAnsiTheme="minorEastAsia"/>
          <w:sz w:val="24"/>
        </w:rPr>
        <w:t>示内容</w:t>
      </w:r>
      <w:r>
        <w:rPr>
          <w:rFonts w:hint="eastAsia" w:ascii="宋体" w:hAnsi="宋体" w:eastAsia="宋体"/>
          <w:sz w:val="24"/>
        </w:rPr>
        <w:t>：课程平均分、奖学金附加材料、排名、获奖名单等。</w:t>
      </w:r>
    </w:p>
    <w:p>
      <w:pPr>
        <w:spacing w:line="400" w:lineRule="exact"/>
        <w:ind w:firstLine="480" w:firstLineChars="200"/>
        <w:rPr>
          <w:sz w:val="24"/>
        </w:rPr>
      </w:pPr>
      <w:r>
        <w:rPr>
          <w:rFonts w:hint="eastAsia"/>
          <w:sz w:val="24"/>
        </w:rPr>
        <w:t>4、公示时间：</w:t>
      </w:r>
      <w:r>
        <w:rPr>
          <w:rFonts w:hint="eastAsia"/>
          <w:sz w:val="24"/>
          <w:lang w:val="en-US" w:eastAsia="zh-CN"/>
        </w:rPr>
        <w:t>拟推荐获奖名单公示时间</w:t>
      </w:r>
      <w:r>
        <w:rPr>
          <w:rFonts w:hint="eastAsia"/>
          <w:sz w:val="24"/>
        </w:rPr>
        <w:t>不少于5个工作日。</w:t>
      </w:r>
    </w:p>
    <w:p>
      <w:pPr>
        <w:spacing w:line="400" w:lineRule="exact"/>
        <w:rPr>
          <w:rFonts w:ascii="宋体" w:hAnsi="宋体" w:eastAsia="宋体"/>
          <w:b/>
          <w:bCs/>
          <w:sz w:val="24"/>
          <w:szCs w:val="24"/>
        </w:rPr>
      </w:pPr>
      <w:r>
        <w:rPr>
          <w:rFonts w:hint="eastAsia" w:ascii="宋体" w:hAnsi="宋体" w:eastAsia="宋体"/>
          <w:b/>
          <w:bCs/>
          <w:sz w:val="24"/>
          <w:szCs w:val="24"/>
        </w:rPr>
        <w:t>七</w:t>
      </w:r>
      <w:r>
        <w:rPr>
          <w:rFonts w:ascii="宋体" w:hAnsi="宋体" w:eastAsia="宋体"/>
          <w:b/>
          <w:bCs/>
          <w:sz w:val="24"/>
          <w:szCs w:val="24"/>
        </w:rPr>
        <w:t>、申诉</w:t>
      </w:r>
    </w:p>
    <w:p>
      <w:pPr>
        <w:spacing w:line="400" w:lineRule="exact"/>
        <w:ind w:left="420" w:leftChars="200"/>
        <w:rPr>
          <w:rFonts w:ascii="宋体" w:hAnsi="宋体" w:eastAsia="宋体"/>
          <w:sz w:val="24"/>
        </w:rPr>
      </w:pPr>
      <w:r>
        <w:rPr>
          <w:rFonts w:ascii="宋体" w:hAnsi="宋体" w:eastAsia="宋体"/>
          <w:sz w:val="24"/>
        </w:rPr>
        <w:t>对奖学金评审结果有异议的研究生</w:t>
      </w:r>
      <w:r>
        <w:rPr>
          <w:rFonts w:ascii="Arial Unicode MS" w:hAnsi="Arial Unicode MS" w:eastAsia="Arial Unicode MS"/>
          <w:sz w:val="24"/>
        </w:rPr>
        <w:t>，</w:t>
      </w:r>
      <w:r>
        <w:rPr>
          <w:rFonts w:ascii="宋体" w:hAnsi="宋体" w:eastAsia="宋体"/>
          <w:sz w:val="24"/>
        </w:rPr>
        <w:t>可在学院公示期内向本学院研究生奖学金评审委员会提出书面申诉</w:t>
      </w:r>
      <w:r>
        <w:rPr>
          <w:rFonts w:ascii="Arial Unicode MS" w:hAnsi="Arial Unicode MS" w:eastAsia="Arial Unicode MS"/>
          <w:sz w:val="24"/>
        </w:rPr>
        <w:t>，</w:t>
      </w:r>
      <w:r>
        <w:rPr>
          <w:rFonts w:ascii="宋体" w:hAnsi="宋体" w:eastAsia="宋体"/>
          <w:sz w:val="24"/>
        </w:rPr>
        <w:t>评审委员会将及时研究并予以答复。</w:t>
      </w:r>
    </w:p>
    <w:p>
      <w:pPr>
        <w:spacing w:line="400" w:lineRule="exact"/>
        <w:ind w:left="480" w:right="4220"/>
        <w:rPr>
          <w:rFonts w:eastAsia="Arial Unicode MS"/>
          <w:sz w:val="23"/>
        </w:rPr>
      </w:pPr>
      <w:r>
        <w:rPr>
          <w:rFonts w:ascii="宋体" w:hAnsi="宋体" w:eastAsia="宋体"/>
          <w:sz w:val="23"/>
        </w:rPr>
        <w:t>申诉邮箱</w:t>
      </w:r>
      <w:r>
        <w:rPr>
          <w:rFonts w:ascii="Arial Unicode MS" w:hAnsi="Arial Unicode MS" w:eastAsia="Arial Unicode MS"/>
          <w:sz w:val="23"/>
        </w:rPr>
        <w:t>：</w:t>
      </w:r>
      <w:r>
        <w:rPr>
          <w:rFonts w:hint="eastAsia" w:ascii="Arial Unicode MS" w:hAnsi="Arial Unicode MS" w:eastAsia="Arial Unicode MS"/>
          <w:sz w:val="23"/>
        </w:rPr>
        <w:t>lj@uestc.edu.cn</w:t>
      </w:r>
      <w:r>
        <w:rPr>
          <w:rFonts w:eastAsia="Arial Unicode MS"/>
          <w:sz w:val="23"/>
        </w:rPr>
        <w:t xml:space="preserve"> </w:t>
      </w:r>
    </w:p>
    <w:p>
      <w:pPr>
        <w:spacing w:line="400" w:lineRule="exact"/>
        <w:ind w:left="1725" w:leftChars="250" w:right="519" w:rightChars="247" w:hanging="1200" w:hangingChars="500"/>
        <w:rPr>
          <w:rFonts w:eastAsia="宋体"/>
          <w:sz w:val="24"/>
          <w:szCs w:val="24"/>
        </w:rPr>
      </w:pPr>
      <w:r>
        <w:rPr>
          <w:rFonts w:ascii="宋体" w:hAnsi="宋体" w:eastAsia="宋体"/>
          <w:sz w:val="24"/>
          <w:szCs w:val="24"/>
        </w:rPr>
        <w:t>联系电话</w:t>
      </w:r>
      <w:r>
        <w:rPr>
          <w:rFonts w:ascii="Arial Unicode MS" w:hAnsi="Arial Unicode MS" w:eastAsia="Arial Unicode MS"/>
          <w:sz w:val="23"/>
        </w:rPr>
        <w:t>：</w:t>
      </w:r>
      <w:r>
        <w:rPr>
          <w:rFonts w:eastAsia="宋体"/>
          <w:sz w:val="24"/>
          <w:szCs w:val="24"/>
        </w:rPr>
        <w:t>028-61830062</w:t>
      </w:r>
      <w:r>
        <w:rPr>
          <w:rFonts w:hint="eastAsia" w:eastAsia="宋体"/>
          <w:sz w:val="24"/>
          <w:szCs w:val="24"/>
        </w:rPr>
        <w:t>、61830919</w:t>
      </w:r>
    </w:p>
    <w:p>
      <w:pPr>
        <w:spacing w:line="400" w:lineRule="exact"/>
        <w:rPr>
          <w:rFonts w:asciiTheme="minorEastAsia" w:hAnsiTheme="minorEastAsia"/>
          <w:sz w:val="24"/>
          <w:szCs w:val="24"/>
        </w:rPr>
      </w:pPr>
      <w:r>
        <w:rPr>
          <w:rFonts w:hint="eastAsia" w:asciiTheme="minorEastAsia" w:hAnsiTheme="minorEastAsia"/>
          <w:b/>
          <w:bCs/>
          <w:sz w:val="24"/>
          <w:szCs w:val="24"/>
        </w:rPr>
        <w:t>八</w:t>
      </w:r>
      <w:r>
        <w:rPr>
          <w:rFonts w:asciiTheme="minorEastAsia" w:hAnsiTheme="minorEastAsia"/>
          <w:b/>
          <w:bCs/>
          <w:sz w:val="24"/>
          <w:szCs w:val="24"/>
        </w:rPr>
        <w:t>、奖学金评定详细办法（见附件）</w:t>
      </w:r>
    </w:p>
    <w:p>
      <w:pPr>
        <w:spacing w:line="400" w:lineRule="exact"/>
        <w:ind w:left="480"/>
        <w:rPr>
          <w:rFonts w:asciiTheme="minorEastAsia" w:hAnsiTheme="minorEastAsia"/>
          <w:sz w:val="18"/>
          <w:szCs w:val="18"/>
        </w:rPr>
      </w:pPr>
      <w:r>
        <w:rPr>
          <w:rFonts w:hint="eastAsia" w:asciiTheme="minorEastAsia" w:hAnsiTheme="minorEastAsia"/>
          <w:sz w:val="18"/>
          <w:szCs w:val="18"/>
        </w:rPr>
        <w:t>附件1：电子科技大学经济与管理学院全日制硕士、博士研究生一年级学业奖学金评定标准</w:t>
      </w:r>
    </w:p>
    <w:p>
      <w:pPr>
        <w:spacing w:line="400" w:lineRule="exact"/>
        <w:ind w:left="480"/>
        <w:rPr>
          <w:rFonts w:asciiTheme="minorEastAsia" w:hAnsiTheme="minorEastAsia"/>
          <w:sz w:val="18"/>
          <w:szCs w:val="18"/>
        </w:rPr>
      </w:pPr>
      <w:r>
        <w:rPr>
          <w:rFonts w:hint="eastAsia" w:asciiTheme="minorEastAsia" w:hAnsiTheme="minorEastAsia"/>
          <w:sz w:val="18"/>
          <w:szCs w:val="18"/>
        </w:rPr>
        <w:t>附件2：电子科技大学经济与管理学院</w:t>
      </w:r>
      <w:r>
        <w:rPr>
          <w:rFonts w:asciiTheme="minorEastAsia" w:hAnsiTheme="minorEastAsia"/>
          <w:sz w:val="18"/>
          <w:szCs w:val="18"/>
        </w:rPr>
        <w:t>全日制</w:t>
      </w:r>
      <w:r>
        <w:rPr>
          <w:rFonts w:hint="eastAsia" w:asciiTheme="minorEastAsia" w:hAnsiTheme="minorEastAsia"/>
          <w:sz w:val="18"/>
          <w:szCs w:val="18"/>
        </w:rPr>
        <w:t>博士研究生学业奖学金评定细则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附件3：电子科技大学经济与管理学院工商管理系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附件4：电子科技大学经济与管理学院管理科学与电子商务系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附件5：电子科技大学经济与管理学院经济学与金融学系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w:t>
      </w:r>
      <w:r>
        <w:rPr>
          <w:rFonts w:asciiTheme="minorEastAsia" w:hAnsiTheme="minorEastAsia"/>
          <w:sz w:val="18"/>
          <w:szCs w:val="18"/>
        </w:rPr>
        <w:t>6</w:t>
      </w:r>
      <w:r>
        <w:rPr>
          <w:rFonts w:hint="eastAsia" w:asciiTheme="minorEastAsia" w:hAnsiTheme="minorEastAsia"/>
          <w:sz w:val="18"/>
          <w:szCs w:val="18"/>
        </w:rPr>
        <w:t>：电子科技大学经济与管理学院经济学与金融学系全日制金融硕士专业学位研究生学业奖学金评定细则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w:t>
      </w:r>
      <w:r>
        <w:rPr>
          <w:rFonts w:asciiTheme="minorEastAsia" w:hAnsiTheme="minorEastAsia"/>
          <w:sz w:val="18"/>
          <w:szCs w:val="18"/>
        </w:rPr>
        <w:t>7</w:t>
      </w:r>
      <w:r>
        <w:rPr>
          <w:rFonts w:hint="eastAsia" w:asciiTheme="minorEastAsia" w:hAnsiTheme="minorEastAsia"/>
          <w:sz w:val="18"/>
          <w:szCs w:val="18"/>
        </w:rPr>
        <w:t>：电子科技大学经济与管理学院研究生学业奖学金答辩评分依据</w:t>
      </w:r>
    </w:p>
    <w:p>
      <w:pPr>
        <w:spacing w:line="400" w:lineRule="exact"/>
        <w:rPr>
          <w:rFonts w:asciiTheme="minorEastAsia" w:hAnsiTheme="minorEastAsia"/>
          <w:b/>
          <w:bCs/>
          <w:sz w:val="24"/>
          <w:szCs w:val="24"/>
        </w:rPr>
      </w:pPr>
      <w:r>
        <w:rPr>
          <w:rFonts w:hint="eastAsia" w:asciiTheme="minorEastAsia" w:hAnsiTheme="minorEastAsia"/>
          <w:b/>
          <w:bCs/>
          <w:sz w:val="24"/>
          <w:szCs w:val="24"/>
        </w:rPr>
        <w:t>九</w:t>
      </w:r>
      <w:r>
        <w:rPr>
          <w:rFonts w:asciiTheme="minorEastAsia" w:hAnsiTheme="minorEastAsia"/>
          <w:b/>
          <w:bCs/>
          <w:sz w:val="24"/>
          <w:szCs w:val="24"/>
        </w:rPr>
        <w:t>、本细则由电子科技大学</w:t>
      </w:r>
      <w:r>
        <w:rPr>
          <w:rFonts w:hint="eastAsia" w:asciiTheme="minorEastAsia" w:hAnsiTheme="minorEastAsia"/>
          <w:b/>
          <w:bCs/>
          <w:sz w:val="24"/>
          <w:szCs w:val="24"/>
        </w:rPr>
        <w:t>经济与</w:t>
      </w:r>
      <w:r>
        <w:rPr>
          <w:rFonts w:asciiTheme="minorEastAsia" w:hAnsiTheme="minorEastAsia"/>
          <w:b/>
          <w:bCs/>
          <w:sz w:val="24"/>
          <w:szCs w:val="24"/>
        </w:rPr>
        <w:t>管理学院研究生奖学金评审委员会负责解释。</w:t>
      </w:r>
    </w:p>
    <w:p>
      <w:pPr>
        <w:spacing w:line="480" w:lineRule="auto"/>
        <w:jc w:val="both"/>
        <w:rPr>
          <w:rFonts w:ascii="宋体" w:hAnsi="宋体" w:eastAsia="宋体"/>
          <w:b/>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0"/>
        <w:jc w:val="right"/>
        <w:rPr>
          <w:rFonts w:ascii="宋体" w:hAnsi="宋体" w:eastAsia="宋体"/>
          <w:b/>
          <w:sz w:val="24"/>
        </w:rPr>
      </w:pPr>
      <w:r>
        <w:rPr>
          <w:rFonts w:ascii="宋体" w:hAnsi="宋体" w:eastAsia="宋体"/>
          <w:b/>
          <w:sz w:val="24"/>
        </w:rPr>
        <w:t>20</w:t>
      </w:r>
      <w:r>
        <w:rPr>
          <w:rFonts w:hint="default" w:ascii="宋体" w:hAnsi="宋体" w:eastAsia="宋体"/>
          <w:b/>
          <w:sz w:val="24"/>
          <w:lang w:val="en-US" w:eastAsia="zh-CN"/>
        </w:rPr>
        <w:t>21</w:t>
      </w:r>
      <w:r>
        <w:rPr>
          <w:rFonts w:ascii="宋体" w:hAnsi="宋体" w:eastAsia="宋体"/>
          <w:b/>
          <w:sz w:val="24"/>
        </w:rPr>
        <w:t>年</w:t>
      </w:r>
      <w:r>
        <w:rPr>
          <w:rFonts w:hint="default" w:ascii="宋体" w:hAnsi="宋体" w:eastAsia="宋体"/>
          <w:b/>
          <w:sz w:val="24"/>
          <w:lang w:val="en-US" w:eastAsia="zh-CN"/>
        </w:rPr>
        <w:t>01</w:t>
      </w:r>
      <w:r>
        <w:rPr>
          <w:rFonts w:ascii="宋体" w:hAnsi="宋体" w:eastAsia="宋体"/>
          <w:b/>
          <w:sz w:val="24"/>
        </w:rPr>
        <w:t>月</w:t>
      </w:r>
    </w:p>
    <w:p>
      <w:pPr>
        <w:spacing w:line="480" w:lineRule="auto"/>
        <w:jc w:val="right"/>
        <w:rPr>
          <w:rFonts w:ascii="宋体" w:hAnsi="宋体" w:eastAsia="宋体"/>
          <w:b/>
          <w:sz w:val="24"/>
        </w:rPr>
        <w:sectPr>
          <w:pgSz w:w="11900" w:h="16838"/>
          <w:pgMar w:top="1390" w:right="1800" w:bottom="1440" w:left="1800" w:header="0" w:footer="0" w:gutter="0"/>
          <w:cols w:equalWidth="0" w:num="1">
            <w:col w:w="8300"/>
          </w:cols>
          <w:docGrid w:linePitch="360" w:charSpace="0"/>
        </w:sectPr>
      </w:pPr>
    </w:p>
    <w:p>
      <w:pPr>
        <w:rPr>
          <w:rFonts w:ascii="宋体" w:hAnsi="宋体"/>
          <w:b/>
          <w:bCs/>
          <w:szCs w:val="21"/>
        </w:rPr>
      </w:pPr>
      <w:r>
        <w:rPr>
          <w:rFonts w:hint="eastAsia" w:ascii="宋体" w:hAnsi="宋体"/>
          <w:b/>
          <w:bCs/>
          <w:szCs w:val="21"/>
        </w:rPr>
        <w:t>附件1：</w:t>
      </w:r>
    </w:p>
    <w:p>
      <w:pPr>
        <w:spacing w:line="360" w:lineRule="auto"/>
        <w:ind w:firstLine="643" w:firstLineChars="200"/>
        <w:jc w:val="center"/>
        <w:rPr>
          <w:rFonts w:eastAsia="黑体"/>
          <w:b/>
          <w:sz w:val="32"/>
          <w:szCs w:val="32"/>
        </w:rPr>
      </w:pPr>
      <w:r>
        <w:rPr>
          <w:rFonts w:hint="eastAsia" w:eastAsia="黑体"/>
          <w:b/>
          <w:sz w:val="32"/>
          <w:szCs w:val="32"/>
        </w:rPr>
        <w:t>电子科技大学经济与管理学院</w:t>
      </w:r>
    </w:p>
    <w:p>
      <w:pPr>
        <w:spacing w:line="360" w:lineRule="auto"/>
        <w:ind w:firstLine="643" w:firstLineChars="200"/>
        <w:jc w:val="center"/>
        <w:rPr>
          <w:rFonts w:eastAsia="黑体"/>
          <w:b/>
          <w:sz w:val="32"/>
          <w:szCs w:val="32"/>
        </w:rPr>
      </w:pPr>
      <w:r>
        <w:rPr>
          <w:rFonts w:hint="eastAsia" w:eastAsia="黑体"/>
          <w:b/>
          <w:sz w:val="32"/>
          <w:szCs w:val="32"/>
        </w:rPr>
        <w:t>全日制硕士、博士研究生一年级学业奖学金评定标准</w:t>
      </w:r>
    </w:p>
    <w:p>
      <w:pPr>
        <w:spacing w:line="400" w:lineRule="exact"/>
        <w:ind w:firstLine="480" w:firstLineChars="200"/>
        <w:rPr>
          <w:rFonts w:ascii="宋体" w:hAnsi="宋体"/>
          <w:bCs/>
          <w:sz w:val="24"/>
        </w:rPr>
      </w:pPr>
      <w:r>
        <w:rPr>
          <w:rFonts w:hint="eastAsia" w:ascii="宋体" w:hAnsi="宋体"/>
          <w:bCs/>
          <w:sz w:val="24"/>
        </w:rPr>
        <w:t>按照学校文件精神，特制定我院全日制一年级硕士研究生和一年级博士研究生学业奖学金评定标准如下：</w:t>
      </w:r>
    </w:p>
    <w:p>
      <w:pPr>
        <w:widowControl w:val="0"/>
        <w:numPr>
          <w:ilvl w:val="0"/>
          <w:numId w:val="3"/>
        </w:numPr>
        <w:spacing w:line="400" w:lineRule="exact"/>
        <w:jc w:val="both"/>
        <w:rPr>
          <w:rFonts w:ascii="宋体" w:hAnsi="宋体"/>
          <w:bCs/>
          <w:sz w:val="24"/>
        </w:rPr>
      </w:pPr>
      <w:r>
        <w:rPr>
          <w:rFonts w:hint="eastAsia" w:ascii="宋体" w:hAnsi="宋体"/>
          <w:bCs/>
          <w:sz w:val="24"/>
        </w:rPr>
        <w:t>一年级学业奖学金仅适用于非定向的研究生。</w:t>
      </w:r>
    </w:p>
    <w:p>
      <w:pPr>
        <w:widowControl w:val="0"/>
        <w:numPr>
          <w:ilvl w:val="0"/>
          <w:numId w:val="3"/>
        </w:numPr>
        <w:spacing w:line="400" w:lineRule="exact"/>
        <w:jc w:val="both"/>
        <w:rPr>
          <w:rFonts w:ascii="宋体" w:hAnsi="宋体"/>
          <w:bCs/>
          <w:sz w:val="24"/>
        </w:rPr>
      </w:pPr>
      <w:r>
        <w:rPr>
          <w:rFonts w:hint="eastAsia" w:ascii="宋体" w:hAnsi="宋体"/>
          <w:bCs/>
          <w:sz w:val="24"/>
        </w:rPr>
        <w:t>一年级博士研究生全部按照学校文件精神，全部按三等学业奖学金评定。</w:t>
      </w:r>
    </w:p>
    <w:p>
      <w:pPr>
        <w:spacing w:line="400" w:lineRule="exact"/>
        <w:ind w:firstLine="480" w:firstLineChars="200"/>
        <w:rPr>
          <w:rFonts w:ascii="宋体" w:hAnsi="宋体"/>
          <w:bCs/>
          <w:sz w:val="24"/>
        </w:rPr>
      </w:pPr>
      <w:r>
        <w:rPr>
          <w:rFonts w:hint="eastAsia" w:ascii="宋体" w:hAnsi="宋体"/>
          <w:bCs/>
          <w:sz w:val="24"/>
        </w:rPr>
        <w:t>3.一年级硕士奖学金评定标准如下：</w:t>
      </w:r>
    </w:p>
    <w:p>
      <w:pPr>
        <w:spacing w:line="400" w:lineRule="exact"/>
        <w:ind w:firstLine="480" w:firstLineChars="200"/>
        <w:rPr>
          <w:rFonts w:ascii="宋体" w:hAnsi="宋体"/>
          <w:bCs/>
          <w:sz w:val="24"/>
        </w:rPr>
      </w:pPr>
      <w:r>
        <w:rPr>
          <w:rFonts w:hint="eastAsia" w:ascii="宋体" w:hAnsi="宋体"/>
          <w:bCs/>
          <w:sz w:val="24"/>
        </w:rPr>
        <w:t>（1）推免生的奖学金等级按照一流大学建设高校、一流学科建设高校、其它高校的优先顺序，并参考复试成绩确定；</w:t>
      </w:r>
    </w:p>
    <w:p>
      <w:pPr>
        <w:spacing w:line="400" w:lineRule="exact"/>
        <w:ind w:firstLine="480" w:firstLineChars="200"/>
        <w:rPr>
          <w:rFonts w:hint="default" w:ascii="宋体" w:hAnsi="宋体" w:eastAsiaTheme="minorEastAsia"/>
          <w:bCs/>
          <w:sz w:val="24"/>
          <w:lang w:val="en-US" w:eastAsia="zh-CN"/>
        </w:rPr>
      </w:pPr>
      <w:r>
        <w:rPr>
          <w:rFonts w:hint="eastAsia" w:ascii="宋体" w:hAnsi="宋体"/>
          <w:bCs/>
          <w:sz w:val="24"/>
        </w:rPr>
        <w:t>（2）统考生的奖学金等级</w:t>
      </w:r>
      <w:r>
        <w:rPr>
          <w:rFonts w:hint="eastAsia" w:ascii="宋体" w:hAnsi="宋体"/>
          <w:bCs/>
          <w:sz w:val="24"/>
          <w:lang w:eastAsia="zh-CN"/>
        </w:rPr>
        <w:t>，</w:t>
      </w:r>
      <w:r>
        <w:rPr>
          <w:rFonts w:hint="eastAsia" w:ascii="宋体" w:hAnsi="宋体"/>
          <w:bCs/>
          <w:sz w:val="24"/>
        </w:rPr>
        <w:t>优先考虑第一志愿报考学生，根据初试和复试成绩、各学科专业排名确定。</w:t>
      </w:r>
      <w:r>
        <w:rPr>
          <w:rFonts w:hint="eastAsia" w:ascii="宋体" w:hAnsi="宋体"/>
          <w:bCs/>
          <w:sz w:val="24"/>
          <w:lang w:val="en-US" w:eastAsia="zh-CN"/>
        </w:rPr>
        <w:t>若出现最终成绩相同的情况，以初试成绩高者排序为先。</w:t>
      </w:r>
    </w:p>
    <w:p>
      <w:pPr>
        <w:spacing w:line="400" w:lineRule="exact"/>
        <w:ind w:firstLine="480" w:firstLineChars="200"/>
        <w:rPr>
          <w:rFonts w:ascii="宋体" w:hAnsi="宋体"/>
          <w:bCs/>
          <w:sz w:val="24"/>
        </w:rPr>
      </w:pPr>
    </w:p>
    <w:p>
      <w:pPr>
        <w:spacing w:line="400" w:lineRule="exact"/>
        <w:jc w:val="right"/>
        <w:rPr>
          <w:rFonts w:ascii="楷体" w:hAnsi="楷体"/>
          <w:b/>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right="106"/>
        <w:jc w:val="right"/>
        <w:rPr>
          <w:rFonts w:ascii="楷体" w:hAnsi="楷体"/>
          <w:b/>
        </w:rPr>
      </w:pPr>
      <w:r>
        <w:rPr>
          <w:rFonts w:hint="eastAsia" w:ascii="Arial" w:hAnsi="Arial" w:eastAsia="宋体"/>
          <w:b/>
          <w:sz w:val="24"/>
        </w:rPr>
        <w:t xml:space="preserve"> </w:t>
      </w:r>
      <w:r>
        <w:rPr>
          <w:rFonts w:hint="default" w:ascii="宋体" w:hAnsi="宋体" w:eastAsia="宋体"/>
          <w:b/>
          <w:sz w:val="24"/>
        </w:rPr>
        <w:t xml:space="preserve"> </w:t>
      </w:r>
      <w:r>
        <w:rPr>
          <w:rFonts w:ascii="宋体" w:hAnsi="宋体" w:eastAsia="宋体"/>
          <w:b/>
          <w:sz w:val="24"/>
        </w:rPr>
        <w:t>20</w:t>
      </w:r>
      <w:r>
        <w:rPr>
          <w:rFonts w:hint="default" w:ascii="宋体" w:hAnsi="宋体" w:eastAsia="宋体"/>
          <w:b/>
          <w:sz w:val="24"/>
          <w:lang w:val="en-US" w:eastAsia="zh-CN"/>
        </w:rPr>
        <w:t>21</w:t>
      </w:r>
      <w:r>
        <w:rPr>
          <w:rFonts w:ascii="宋体" w:hAnsi="宋体" w:eastAsia="宋体"/>
          <w:b/>
          <w:sz w:val="24"/>
        </w:rPr>
        <w:t>年</w:t>
      </w:r>
      <w:r>
        <w:rPr>
          <w:rFonts w:hint="default" w:ascii="宋体" w:hAnsi="宋体" w:eastAsia="宋体"/>
          <w:b/>
          <w:sz w:val="24"/>
          <w:lang w:val="en-US" w:eastAsia="zh-CN"/>
        </w:rPr>
        <w:t>01</w:t>
      </w:r>
      <w:r>
        <w:rPr>
          <w:rFonts w:ascii="宋体" w:hAnsi="宋体" w:eastAsia="宋体"/>
          <w:b/>
          <w:sz w:val="24"/>
        </w:rPr>
        <w:t>月</w:t>
      </w:r>
    </w:p>
    <w:p>
      <w:pPr>
        <w:spacing w:line="400" w:lineRule="exact"/>
        <w:jc w:val="right"/>
        <w:rPr>
          <w:rFonts w:ascii="楷体" w:hAnsi="楷体" w:eastAsia="楷体"/>
          <w:b/>
          <w:sz w:val="24"/>
        </w:rPr>
      </w:pPr>
    </w:p>
    <w:p>
      <w:pPr>
        <w:spacing w:line="400" w:lineRule="exact"/>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r>
        <w:rPr>
          <w:rFonts w:ascii="宋体" w:hAnsi="宋体"/>
          <w:b/>
          <w:bCs/>
          <w:szCs w:val="21"/>
        </w:rPr>
        <w:br w:type="page"/>
      </w:r>
      <w:r>
        <w:rPr>
          <w:rFonts w:hint="eastAsia" w:ascii="宋体" w:hAnsi="宋体"/>
          <w:b/>
          <w:bCs/>
          <w:szCs w:val="21"/>
        </w:rPr>
        <w:t>附件2：</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博士研究生学业奖学金评定细则</w:t>
      </w:r>
    </w:p>
    <w:p>
      <w:pPr>
        <w:spacing w:line="360" w:lineRule="auto"/>
        <w:jc w:val="center"/>
        <w:rPr>
          <w:rFonts w:eastAsia="黑体"/>
          <w:b/>
          <w:sz w:val="32"/>
          <w:szCs w:val="32"/>
        </w:rPr>
      </w:pP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，根据《电子科技大学研究生荣誉奖励实施办法》校研[2019]164号、《电子科技大学研究生学业奖学金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ascii="宋体" w:hAnsi="宋体"/>
          <w:bCs/>
          <w:sz w:val="24"/>
        </w:rPr>
        <w:t>纳入全国研究生招生计划的二至</w:t>
      </w:r>
      <w:r>
        <w:rPr>
          <w:rFonts w:hint="eastAsia" w:ascii="宋体" w:hAnsi="宋体"/>
          <w:bCs/>
          <w:sz w:val="24"/>
        </w:rPr>
        <w:t>四</w:t>
      </w:r>
      <w:r>
        <w:rPr>
          <w:rFonts w:ascii="宋体" w:hAnsi="宋体"/>
          <w:bCs/>
          <w:sz w:val="24"/>
        </w:rPr>
        <w:t>年级全日制博士研究生（定向和委培生除外）</w:t>
      </w:r>
      <w:r>
        <w:rPr>
          <w:rFonts w:hint="eastAsia" w:ascii="宋体" w:hAnsi="宋体"/>
          <w:bCs/>
          <w:sz w:val="24"/>
        </w:rPr>
        <w:t>。</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遵守国家有关法律和学校的规章制度。</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》的相关规定。</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评奖年度受到纪律处分者；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导师认为不宜参评者；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公派留学直接攻读博士学位者；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本人当年未提出申请者。</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w:t>
      </w:r>
      <w:r>
        <w:rPr>
          <w:rFonts w:ascii="宋体" w:hAnsi="宋体"/>
          <w:b/>
          <w:bCs/>
          <w:sz w:val="24"/>
        </w:rPr>
        <w:t>、</w:t>
      </w:r>
      <w:r>
        <w:rPr>
          <w:rFonts w:hint="eastAsia" w:ascii="宋体" w:hAnsi="宋体"/>
          <w:b/>
          <w:bCs/>
          <w:sz w:val="24"/>
        </w:rPr>
        <w:t>博士研究生学业奖学金等级、比例和金额</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博士研究生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10%</w:t>
            </w:r>
          </w:p>
        </w:tc>
        <w:tc>
          <w:tcPr>
            <w:tcW w:w="2153" w:type="dxa"/>
            <w:vAlign w:val="center"/>
          </w:tcPr>
          <w:p>
            <w:pPr>
              <w:spacing w:line="360" w:lineRule="auto"/>
              <w:jc w:val="center"/>
              <w:rPr>
                <w:rFonts w:ascii="宋体" w:hAnsi="宋体"/>
                <w:bCs/>
                <w:szCs w:val="21"/>
              </w:rPr>
            </w:pPr>
            <w:r>
              <w:rPr>
                <w:rFonts w:hint="eastAsia" w:ascii="宋体" w:hAnsi="宋体"/>
                <w:bCs/>
                <w:szCs w:val="21"/>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60%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w:t>
      </w:r>
      <w:r>
        <w:rPr>
          <w:rFonts w:hint="eastAsia" w:ascii="宋体" w:hAnsi="宋体"/>
          <w:b/>
          <w:bCs/>
          <w:sz w:val="24"/>
        </w:rPr>
        <w:t>博士研究生</w:t>
      </w:r>
      <w:r>
        <w:rPr>
          <w:rFonts w:ascii="宋体" w:hAnsi="宋体"/>
          <w:b/>
          <w:bCs/>
          <w:sz w:val="24"/>
        </w:rPr>
        <w:t>学业奖学金评选流程</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学院发布评奖通知，各评定单位成立学业奖学金评定工作组。</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申请人向研究生科提交申请材料：填写《研究生学业奖学金申请表》（详附表1），请导师签字同意后提交申请表，提供符合要求的证明材料和汇总表（详附表2-4，电子版和书面版同时提供），签署《诚信承诺书》（详附件）。</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研究生科依据学校、学院相关文件要求对申请人进行资格审查。</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学院组织“专场奖学金答辩会”，对博士一、二等学业奖学金进行最终评定。</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研究生科公示推荐名单，公示后将相关资料汇总并上报至研究生院。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五、申请者需提交的书面证明材料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学院每年9月组织一次学生科研成果和获奖等情况的登记，二至三年级的博士研究生直接到评定单位进行登记，登记时按照如下2-5条要求提供评奖年度的证明材料。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申请博士学业奖学金者只提供评奖年度的证明材料，其中的期刊论文应符合博士研究生毕业条件中发表论文的要求。</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提供论文证明材料应注意：</w:t>
      </w:r>
    </w:p>
    <w:p>
      <w:pPr>
        <w:widowControl w:val="0"/>
        <w:numPr>
          <w:ilvl w:val="0"/>
          <w:numId w:val="8"/>
        </w:numPr>
        <w:spacing w:line="400" w:lineRule="exact"/>
        <w:ind w:hanging="376"/>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期刊论文被SCI、SSCI或EI检索：需提供书面有效的检索证明。</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8"/>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获奖证明材料：</w:t>
      </w:r>
    </w:p>
    <w:p>
      <w:pPr>
        <w:widowControl w:val="0"/>
        <w:numPr>
          <w:ilvl w:val="0"/>
          <w:numId w:val="9"/>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9"/>
        </w:numPr>
        <w:spacing w:line="400" w:lineRule="exact"/>
        <w:jc w:val="both"/>
        <w:rPr>
          <w:rFonts w:ascii="宋体" w:hAnsi="宋体"/>
          <w:b/>
          <w:bCs/>
          <w:sz w:val="24"/>
        </w:rPr>
      </w:pP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，对获奖级别的划分证明以及评定工作组要求提供的其它证明材料等。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六、附则</w:t>
      </w:r>
    </w:p>
    <w:p>
      <w:pPr>
        <w:spacing w:line="400" w:lineRule="exact"/>
        <w:ind w:firstLine="480" w:firstLineChars="200"/>
        <w:rPr>
          <w:rFonts w:ascii="宋体" w:hAnsi="宋体"/>
          <w:bCs/>
          <w:sz w:val="24"/>
        </w:rPr>
      </w:pPr>
      <w:r>
        <w:rPr>
          <w:rFonts w:hint="eastAsia" w:ascii="宋体" w:hAnsi="宋体"/>
          <w:bCs/>
          <w:sz w:val="24"/>
        </w:rPr>
        <w:t>1.本细则未涉及的内容参考学校和学院相关管理办法执行。</w:t>
      </w:r>
    </w:p>
    <w:p>
      <w:pPr>
        <w:spacing w:line="400" w:lineRule="exact"/>
        <w:ind w:firstLine="480" w:firstLineChars="200"/>
        <w:rPr>
          <w:rFonts w:ascii="宋体" w:hAnsi="宋体"/>
          <w:bCs/>
          <w:sz w:val="24"/>
        </w:rPr>
      </w:pPr>
      <w:r>
        <w:rPr>
          <w:rFonts w:hint="eastAsia" w:ascii="宋体" w:hAnsi="宋体"/>
          <w:bCs/>
          <w:sz w:val="24"/>
        </w:rPr>
        <w:t>2.本细则适用于电子科技大学经济与管理学院研究生，从202</w:t>
      </w:r>
      <w:r>
        <w:rPr>
          <w:rFonts w:hint="eastAsia" w:ascii="宋体" w:hAnsi="宋体"/>
          <w:bCs/>
          <w:sz w:val="24"/>
          <w:lang w:val="en-US" w:eastAsia="zh-CN"/>
        </w:rPr>
        <w:t>1</w:t>
      </w:r>
      <w:r>
        <w:rPr>
          <w:rFonts w:hint="eastAsia" w:ascii="宋体" w:hAnsi="宋体"/>
          <w:bCs/>
          <w:sz w:val="24"/>
        </w:rPr>
        <w:t>年9月1日开始试行。</w:t>
      </w:r>
    </w:p>
    <w:p>
      <w:pPr>
        <w:spacing w:line="400" w:lineRule="exact"/>
        <w:ind w:firstLine="480" w:firstLineChars="200"/>
      </w:pPr>
      <w:r>
        <w:rPr>
          <w:rFonts w:hint="eastAsia" w:ascii="宋体" w:hAnsi="宋体"/>
          <w:bCs/>
          <w:sz w:val="24"/>
        </w:rPr>
        <w:t>3.本细则由经济与管理学院研究生学业奖学金评审委员会负责解释。</w:t>
      </w:r>
    </w:p>
    <w:p>
      <w:pPr>
        <w:spacing w:line="360" w:lineRule="auto"/>
        <w:rPr>
          <w:rFonts w:ascii="宋体" w:hAnsi="宋体"/>
          <w:b/>
          <w:bCs/>
          <w:sz w:val="24"/>
        </w:rPr>
      </w:pPr>
    </w:p>
    <w:p>
      <w:pPr>
        <w:spacing w:line="360" w:lineRule="auto"/>
        <w:rPr>
          <w:rFonts w:ascii="宋体" w:hAnsi="宋体"/>
          <w:b/>
          <w:bCs/>
          <w:sz w:val="24"/>
        </w:rPr>
      </w:pPr>
    </w:p>
    <w:p>
      <w:pPr>
        <w:spacing w:line="480" w:lineRule="auto"/>
        <w:jc w:val="right"/>
        <w:rPr>
          <w:rFonts w:ascii="宋体" w:hAnsi="宋体" w:eastAsia="宋体"/>
          <w:b/>
          <w:sz w:val="24"/>
        </w:rPr>
      </w:pPr>
      <w:r>
        <w:rPr>
          <w:rFonts w:hint="eastAsia" w:ascii="宋体" w:hAnsi="宋体" w:eastAsia="宋体"/>
          <w:b/>
          <w:sz w:val="24"/>
        </w:rPr>
        <w:t xml:space="preserve"> 经济</w:t>
      </w:r>
      <w:r>
        <w:rPr>
          <w:rFonts w:ascii="宋体" w:hAnsi="宋体" w:eastAsia="宋体"/>
          <w:b/>
          <w:sz w:val="24"/>
        </w:rPr>
        <w:t>与管理学院</w:t>
      </w:r>
    </w:p>
    <w:p>
      <w:pPr>
        <w:spacing w:line="480" w:lineRule="auto"/>
        <w:jc w:val="right"/>
        <w:rPr>
          <w:rFonts w:hint="eastAsia" w:ascii="宋体" w:hAnsi="宋体" w:eastAsia="宋体"/>
          <w:b/>
          <w:sz w:val="24"/>
        </w:rPr>
      </w:pP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hint="eastAsia" w:ascii="宋体" w:hAnsi="宋体" w:eastAsia="宋体"/>
          <w:b/>
          <w:sz w:val="24"/>
        </w:rPr>
        <w:t>月</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r>
        <w:rPr>
          <w:rFonts w:hint="eastAsia" w:ascii="宋体" w:hAnsi="宋体"/>
          <w:b/>
          <w:bCs/>
          <w:szCs w:val="21"/>
        </w:rPr>
        <w:t>附件3：</w:t>
      </w:r>
    </w:p>
    <w:p>
      <w:pPr>
        <w:spacing w:line="360" w:lineRule="auto"/>
        <w:jc w:val="center"/>
        <w:rPr>
          <w:rFonts w:eastAsia="黑体"/>
          <w:b/>
          <w:sz w:val="32"/>
          <w:szCs w:val="32"/>
        </w:rPr>
      </w:pPr>
      <w:r>
        <w:rPr>
          <w:rFonts w:hint="eastAsia" w:eastAsia="黑体"/>
          <w:b/>
          <w:sz w:val="32"/>
          <w:szCs w:val="32"/>
        </w:rPr>
        <w:t>电子科技大学经济与管理学院工商管理系</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宋体" w:hAnsi="宋体"/>
          <w:bCs/>
          <w:sz w:val="24"/>
        </w:rPr>
        <w:t>工商管理专业的二至三年级全日制学术型硕士研究生（定向生、委培生除外）。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遵守国家有关法律和学校的规章制度。</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申请时已达到硕士培养方案所要求的最低学位课程学分，公共基础课必修。</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研三学生已经通过毕业论文开题答辩。</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11"/>
        </w:numPr>
        <w:spacing w:line="400" w:lineRule="exact"/>
        <w:jc w:val="both"/>
        <w:rPr>
          <w:rFonts w:ascii="宋体" w:hAnsi="宋体"/>
          <w:bCs/>
          <w:sz w:val="24"/>
        </w:rPr>
      </w:pPr>
      <w:r>
        <w:rPr>
          <w:rFonts w:hint="eastAsia" w:ascii="宋体" w:hAnsi="宋体"/>
          <w:bCs/>
          <w:sz w:val="24"/>
        </w:rPr>
        <w:t>评奖年度受到纪律处分者；</w:t>
      </w:r>
    </w:p>
    <w:p>
      <w:pPr>
        <w:widowControl w:val="0"/>
        <w:numPr>
          <w:ilvl w:val="0"/>
          <w:numId w:val="11"/>
        </w:numPr>
        <w:spacing w:line="400" w:lineRule="exact"/>
        <w:jc w:val="both"/>
        <w:rPr>
          <w:rFonts w:ascii="宋体" w:hAnsi="宋体"/>
          <w:bCs/>
          <w:sz w:val="24"/>
        </w:rPr>
      </w:pPr>
      <w:r>
        <w:rPr>
          <w:rFonts w:hint="eastAsia" w:ascii="宋体" w:hAnsi="宋体"/>
          <w:bCs/>
          <w:sz w:val="24"/>
        </w:rPr>
        <w:t>导师认为不宜参评者；</w:t>
      </w:r>
    </w:p>
    <w:p>
      <w:pPr>
        <w:widowControl w:val="0"/>
        <w:numPr>
          <w:ilvl w:val="0"/>
          <w:numId w:val="11"/>
        </w:numPr>
        <w:spacing w:line="400" w:lineRule="exact"/>
        <w:jc w:val="both"/>
        <w:rPr>
          <w:rFonts w:ascii="宋体" w:hAnsi="宋体"/>
          <w:bCs/>
          <w:sz w:val="24"/>
        </w:rPr>
      </w:pPr>
      <w:r>
        <w:rPr>
          <w:rFonts w:hint="eastAsia" w:ascii="宋体" w:hAnsi="宋体"/>
          <w:bCs/>
          <w:sz w:val="24"/>
        </w:rPr>
        <w:t>本人当年未提出申请者；</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硕博连读研究生由于已享受当年博士生学业奖学金，因此不参与硕士生奖学金评定。</w:t>
      </w:r>
    </w:p>
    <w:p>
      <w:pPr>
        <w:widowControl w:val="0"/>
        <w:tabs>
          <w:tab w:val="left" w:pos="840"/>
          <w:tab w:val="left" w:pos="1200"/>
        </w:tabs>
        <w:spacing w:line="400" w:lineRule="exact"/>
        <w:ind w:left="840"/>
        <w:jc w:val="both"/>
        <w:rPr>
          <w:rFonts w:ascii="宋体" w:hAnsi="宋体"/>
          <w:bCs/>
          <w:sz w:val="24"/>
        </w:rPr>
      </w:pP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20" w:firstLineChars="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numPr>
          <w:ilvl w:val="0"/>
          <w:numId w:val="12"/>
        </w:numPr>
        <w:tabs>
          <w:tab w:val="left" w:pos="840"/>
        </w:tabs>
        <w:spacing w:line="400" w:lineRule="exact"/>
        <w:ind w:left="840"/>
        <w:jc w:val="both"/>
        <w:rPr>
          <w:bCs/>
          <w:sz w:val="24"/>
        </w:rPr>
      </w:pPr>
      <w:r>
        <w:rPr>
          <w:rFonts w:hAnsi="宋体"/>
          <w:bCs/>
          <w:sz w:val="24"/>
        </w:rPr>
        <w:t>硕士二年级学生评奖最终成绩</w:t>
      </w:r>
      <w:r>
        <w:rPr>
          <w:bCs/>
          <w:sz w:val="24"/>
        </w:rPr>
        <w:t xml:space="preserve"> =</w:t>
      </w:r>
      <w:r>
        <w:rPr>
          <w:rFonts w:hint="eastAsia" w:hAnsi="宋体"/>
          <w:bCs/>
          <w:sz w:val="24"/>
        </w:rPr>
        <w:t>课程学习</w:t>
      </w:r>
      <w:r>
        <w:rPr>
          <w:rFonts w:hAnsi="宋体"/>
          <w:bCs/>
          <w:sz w:val="24"/>
        </w:rPr>
        <w:t>得分</w:t>
      </w:r>
      <w:r>
        <w:rPr>
          <w:bCs/>
          <w:sz w:val="24"/>
        </w:rPr>
        <w:t>+</w:t>
      </w:r>
      <w:r>
        <w:rPr>
          <w:rFonts w:hAnsi="宋体"/>
          <w:bCs/>
          <w:sz w:val="24"/>
        </w:rPr>
        <w:t>其它得分</w:t>
      </w:r>
    </w:p>
    <w:p>
      <w:pPr>
        <w:spacing w:line="400" w:lineRule="exact"/>
        <w:ind w:firstLine="840" w:firstLineChars="350"/>
        <w:rPr>
          <w:bCs/>
          <w:sz w:val="24"/>
        </w:rPr>
      </w:pPr>
      <w:r>
        <w:rPr>
          <w:rFonts w:hint="eastAsia" w:hAnsi="宋体"/>
          <w:bCs/>
          <w:sz w:val="24"/>
        </w:rPr>
        <w:t>课程学习</w:t>
      </w:r>
      <w:r>
        <w:rPr>
          <w:rFonts w:hAnsi="宋体"/>
          <w:bCs/>
          <w:sz w:val="24"/>
        </w:rPr>
        <w:t>得分</w:t>
      </w:r>
      <w:r>
        <w:rPr>
          <w:rFonts w:hint="eastAsia"/>
          <w:bCs/>
          <w:sz w:val="24"/>
        </w:rPr>
        <w:t>：</w:t>
      </w:r>
      <w:r>
        <w:rPr>
          <w:rFonts w:hint="eastAsia" w:hAnsi="宋体"/>
          <w:bCs/>
          <w:sz w:val="24"/>
        </w:rPr>
        <w:t>占</w:t>
      </w:r>
      <w:r>
        <w:rPr>
          <w:bCs/>
          <w:sz w:val="24"/>
        </w:rPr>
        <w:t>70%</w:t>
      </w:r>
      <w:r>
        <w:rPr>
          <w:rFonts w:hint="eastAsia" w:hAnsi="宋体"/>
          <w:bCs/>
          <w:sz w:val="24"/>
        </w:rPr>
        <w:t>，即</w:t>
      </w:r>
      <w:r>
        <w:rPr>
          <w:rFonts w:hAnsi="宋体"/>
          <w:bCs/>
          <w:sz w:val="24"/>
        </w:rPr>
        <w:t>相对学分积</w:t>
      </w:r>
      <w:r>
        <w:rPr>
          <w:rFonts w:hint="eastAsia" w:hAnsi="宋体"/>
          <w:bCs/>
          <w:sz w:val="24"/>
        </w:rPr>
        <w:t>的得分</w:t>
      </w:r>
    </w:p>
    <w:p>
      <w:pPr>
        <w:spacing w:line="360" w:lineRule="auto"/>
        <w:ind w:left="958" w:leftChars="456"/>
        <w:rPr>
          <w:rFonts w:hAnsi="宋体"/>
          <w:bCs/>
          <w:sz w:val="24"/>
        </w:rPr>
      </w:pPr>
      <w:r>
        <w:rPr>
          <w:rFonts w:hAnsi="宋体"/>
          <w:bCs/>
          <w:sz w:val="24"/>
        </w:rPr>
        <w:t>其它得分</w:t>
      </w:r>
      <w:r>
        <w:rPr>
          <w:rFonts w:hint="eastAsia"/>
          <w:bCs/>
          <w:sz w:val="24"/>
        </w:rPr>
        <w:t>：</w:t>
      </w:r>
      <w:r>
        <w:rPr>
          <w:rFonts w:hint="eastAsia" w:hAnsi="宋体"/>
          <w:bCs/>
          <w:sz w:val="24"/>
        </w:rPr>
        <w:t>占</w:t>
      </w:r>
      <w:r>
        <w:rPr>
          <w:rFonts w:hint="eastAsia"/>
          <w:bCs/>
          <w:sz w:val="24"/>
        </w:rPr>
        <w:t>30</w:t>
      </w:r>
      <w:r>
        <w:rPr>
          <w:bCs/>
          <w:sz w:val="24"/>
        </w:rPr>
        <w:t>%</w:t>
      </w:r>
      <w:r>
        <w:rPr>
          <w:rFonts w:hint="eastAsia" w:hAnsi="宋体"/>
          <w:bCs/>
          <w:sz w:val="24"/>
        </w:rPr>
        <w:t>，即</w:t>
      </w:r>
      <w:r>
        <w:rPr>
          <w:rFonts w:hAnsi="宋体"/>
          <w:bCs/>
          <w:sz w:val="24"/>
        </w:rPr>
        <w:t>学业奖学金答辩</w:t>
      </w:r>
      <w:r>
        <w:rPr>
          <w:rFonts w:hint="eastAsia" w:hAnsi="宋体"/>
          <w:bCs/>
          <w:sz w:val="24"/>
        </w:rPr>
        <w:t>得分（20%）</w:t>
      </w:r>
      <w:r>
        <w:rPr>
          <w:rFonts w:hint="eastAsia"/>
          <w:bCs/>
          <w:sz w:val="24"/>
        </w:rPr>
        <w:t>和</w:t>
      </w:r>
      <w:r>
        <w:rPr>
          <w:rFonts w:hAnsi="宋体"/>
          <w:bCs/>
          <w:sz w:val="24"/>
        </w:rPr>
        <w:t>导师评分</w:t>
      </w:r>
      <w:r>
        <w:rPr>
          <w:rFonts w:hint="eastAsia" w:hAnsi="宋体"/>
          <w:bCs/>
          <w:sz w:val="24"/>
        </w:rPr>
        <w:t>（10%），</w:t>
      </w:r>
    </w:p>
    <w:p>
      <w:pPr>
        <w:widowControl w:val="0"/>
        <w:numPr>
          <w:ilvl w:val="0"/>
          <w:numId w:val="12"/>
        </w:numPr>
        <w:tabs>
          <w:tab w:val="left" w:pos="840"/>
        </w:tabs>
        <w:spacing w:line="400" w:lineRule="exact"/>
        <w:ind w:left="840"/>
        <w:jc w:val="both"/>
        <w:rPr>
          <w:rFonts w:hAnsi="宋体"/>
          <w:bCs/>
          <w:sz w:val="24"/>
        </w:rPr>
      </w:pPr>
      <w:r>
        <w:rPr>
          <w:rFonts w:hAnsi="宋体"/>
          <w:bCs/>
          <w:sz w:val="24"/>
        </w:rPr>
        <w:t>硕士三年级学生评奖最终成绩 =学业奖学金答辩得分+其它得分</w:t>
      </w:r>
    </w:p>
    <w:p>
      <w:pPr>
        <w:spacing w:line="400" w:lineRule="exact"/>
        <w:ind w:left="1078" w:leftChars="456" w:hanging="120" w:hangingChars="50"/>
        <w:rPr>
          <w:bCs/>
          <w:sz w:val="24"/>
        </w:rPr>
      </w:pPr>
      <w:r>
        <w:rPr>
          <w:rFonts w:hAnsi="宋体"/>
          <w:bCs/>
          <w:sz w:val="24"/>
        </w:rPr>
        <w:t>学业奖学金答辩得分</w:t>
      </w:r>
      <w:r>
        <w:rPr>
          <w:rFonts w:hint="eastAsia"/>
          <w:bCs/>
          <w:sz w:val="24"/>
        </w:rPr>
        <w:t>：</w:t>
      </w:r>
      <w:r>
        <w:rPr>
          <w:rFonts w:hint="eastAsia" w:hAnsi="宋体"/>
          <w:bCs/>
          <w:sz w:val="24"/>
        </w:rPr>
        <w:t>占</w:t>
      </w:r>
      <w:r>
        <w:rPr>
          <w:bCs/>
          <w:sz w:val="24"/>
        </w:rPr>
        <w:t>70%</w:t>
      </w:r>
    </w:p>
    <w:p>
      <w:pPr>
        <w:spacing w:line="400" w:lineRule="exact"/>
        <w:ind w:left="657" w:leftChars="313" w:firstLine="120" w:firstLineChars="50"/>
        <w:rPr>
          <w:rFonts w:hAnsi="宋体"/>
          <w:bCs/>
          <w:sz w:val="24"/>
        </w:rPr>
      </w:pPr>
      <w:r>
        <w:rPr>
          <w:rFonts w:hAnsi="宋体"/>
          <w:bCs/>
          <w:sz w:val="24"/>
        </w:rPr>
        <w:t>其它得分</w:t>
      </w:r>
      <w:r>
        <w:rPr>
          <w:rFonts w:hint="eastAsia"/>
          <w:bCs/>
          <w:sz w:val="24"/>
        </w:rPr>
        <w:t>：</w:t>
      </w:r>
      <w:r>
        <w:rPr>
          <w:rFonts w:hint="eastAsia" w:hAnsi="宋体"/>
          <w:bCs/>
          <w:sz w:val="24"/>
        </w:rPr>
        <w:t>占</w:t>
      </w:r>
      <w:r>
        <w:rPr>
          <w:rFonts w:hint="eastAsia"/>
          <w:bCs/>
          <w:sz w:val="24"/>
        </w:rPr>
        <w:t>30</w:t>
      </w:r>
      <w:r>
        <w:rPr>
          <w:bCs/>
          <w:sz w:val="24"/>
        </w:rPr>
        <w:t>%</w:t>
      </w:r>
      <w:r>
        <w:rPr>
          <w:rFonts w:hint="eastAsia" w:hAnsi="宋体"/>
          <w:bCs/>
          <w:sz w:val="24"/>
        </w:rPr>
        <w:t>，即</w:t>
      </w:r>
      <w:r>
        <w:rPr>
          <w:rFonts w:hAnsi="宋体"/>
          <w:bCs/>
          <w:sz w:val="24"/>
        </w:rPr>
        <w:t>导师评分</w:t>
      </w:r>
      <w:r>
        <w:rPr>
          <w:rFonts w:hint="eastAsia" w:hAnsi="宋体"/>
          <w:bCs/>
          <w:sz w:val="24"/>
        </w:rPr>
        <w:t>（10%）和</w:t>
      </w:r>
      <w:r>
        <w:rPr>
          <w:rFonts w:hAnsi="宋体"/>
          <w:bCs/>
          <w:sz w:val="24"/>
        </w:rPr>
        <w:t>开题评分</w:t>
      </w:r>
      <w:r>
        <w:rPr>
          <w:rFonts w:hint="eastAsia" w:hAnsi="宋体"/>
          <w:bCs/>
          <w:sz w:val="24"/>
        </w:rPr>
        <w:t>（20%）</w:t>
      </w:r>
    </w:p>
    <w:p>
      <w:pPr>
        <w:spacing w:line="400" w:lineRule="exact"/>
        <w:ind w:left="657" w:leftChars="313" w:firstLine="360" w:firstLineChars="150"/>
        <w:rPr>
          <w:bCs/>
          <w:sz w:val="24"/>
        </w:rPr>
      </w:pPr>
      <w:r>
        <w:rPr>
          <w:rFonts w:hint="eastAsia" w:hAnsi="宋体"/>
          <w:bCs/>
          <w:sz w:val="24"/>
        </w:rPr>
        <w:t>备注：开题成绩的计算按照开题组每位老师给出成绩的平均分（百分制）</w:t>
      </w:r>
    </w:p>
    <w:p>
      <w:pPr>
        <w:widowControl w:val="0"/>
        <w:numPr>
          <w:ilvl w:val="0"/>
          <w:numId w:val="12"/>
        </w:numPr>
        <w:tabs>
          <w:tab w:val="left" w:pos="840"/>
        </w:tabs>
        <w:spacing w:line="400" w:lineRule="exact"/>
        <w:ind w:left="840"/>
        <w:jc w:val="both"/>
        <w:rPr>
          <w:rFonts w:hAnsi="宋体"/>
          <w:bCs/>
          <w:sz w:val="24"/>
        </w:rPr>
      </w:pPr>
      <w:r>
        <w:rPr>
          <w:rFonts w:hint="eastAsia" w:hAnsi="宋体"/>
          <w:bCs/>
          <w:sz w:val="24"/>
        </w:rPr>
        <w:t>答辩评分参照附件</w:t>
      </w:r>
      <w:r>
        <w:rPr>
          <w:rFonts w:hAnsi="宋体"/>
          <w:bCs/>
          <w:sz w:val="24"/>
        </w:rPr>
        <w:t>7</w:t>
      </w:r>
      <w:r>
        <w:rPr>
          <w:rFonts w:hint="eastAsia" w:hAnsi="宋体"/>
          <w:bCs/>
          <w:sz w:val="24"/>
        </w:rPr>
        <w:t>：电子科技大学经济与管理学院研究生学业奖学金答辩评分依据</w:t>
      </w:r>
    </w:p>
    <w:p>
      <w:pPr>
        <w:widowControl w:val="0"/>
        <w:numPr>
          <w:ilvl w:val="0"/>
          <w:numId w:val="12"/>
        </w:numPr>
        <w:tabs>
          <w:tab w:val="left" w:pos="840"/>
        </w:tabs>
        <w:spacing w:line="400" w:lineRule="exact"/>
        <w:ind w:left="840"/>
        <w:jc w:val="both"/>
        <w:rPr>
          <w:rFonts w:hAnsi="宋体"/>
          <w:bCs/>
          <w:sz w:val="24"/>
        </w:rPr>
      </w:pPr>
      <w:r>
        <w:rPr>
          <w:rFonts w:hint="eastAsia" w:ascii="宋体" w:hAnsi="宋体"/>
          <w:b w:val="0"/>
          <w:bCs w:val="0"/>
          <w:sz w:val="24"/>
          <w:lang w:val="en-US" w:eastAsia="zh-CN"/>
        </w:rPr>
        <w:t>深圳高等研究院学生，在系内按人数比例分配名额。</w:t>
      </w:r>
    </w:p>
    <w:p>
      <w:pPr>
        <w:widowControl w:val="0"/>
        <w:numPr>
          <w:ilvl w:val="0"/>
          <w:numId w:val="12"/>
        </w:numPr>
        <w:tabs>
          <w:tab w:val="left" w:pos="840"/>
        </w:tabs>
        <w:spacing w:line="400" w:lineRule="exact"/>
        <w:ind w:left="840"/>
        <w:jc w:val="both"/>
        <w:rPr>
          <w:rFonts w:hAnsi="宋体"/>
          <w:bCs/>
          <w:sz w:val="24"/>
        </w:rPr>
      </w:pP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13"/>
        </w:numPr>
        <w:tabs>
          <w:tab w:val="left" w:pos="1200"/>
        </w:tabs>
        <w:ind w:firstLine="420"/>
        <w:jc w:val="both"/>
        <w:rPr>
          <w:bCs/>
          <w:sz w:val="24"/>
        </w:rPr>
      </w:pPr>
      <w:r>
        <w:rPr>
          <w:rFonts w:hAnsi="宋体"/>
          <w:bCs/>
          <w:sz w:val="24"/>
        </w:rPr>
        <w:t>某门课程的相对分</w:t>
      </w:r>
      <w:r>
        <w:rPr>
          <w:bCs/>
          <w:position w:val="-12"/>
          <w:sz w:val="24"/>
        </w:rPr>
        <w:object>
          <v:shape id="_x0000_i1025"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26"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仿宋"/>
          <w:position w:val="-12"/>
          <w:szCs w:val="21"/>
        </w:rPr>
        <w:object>
          <v:shape id="_x0000_i1027"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Ansi="仿宋" w:eastAsia="仿宋"/>
          <w:szCs w:val="21"/>
        </w:rPr>
        <w:t>－</w:t>
      </w:r>
      <w:r>
        <w:rPr>
          <w:rFonts w:eastAsia="仿宋"/>
          <w:position w:val="-4"/>
          <w:szCs w:val="21"/>
        </w:rPr>
        <w:object>
          <v:shape id="_x0000_i1028"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29"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30"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Ansi="宋体"/>
          <w:bCs/>
          <w:sz w:val="24"/>
        </w:rPr>
        <w:t>为该门课程的本院全年级平均分。</w:t>
      </w:r>
    </w:p>
    <w:p>
      <w:pPr>
        <w:widowControl w:val="0"/>
        <w:numPr>
          <w:ilvl w:val="0"/>
          <w:numId w:val="13"/>
        </w:numPr>
        <w:tabs>
          <w:tab w:val="left" w:pos="1200"/>
        </w:tabs>
        <w:ind w:firstLine="420"/>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31"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eastAsia="仿宋"/>
          <w:position w:val="-28"/>
          <w:szCs w:val="21"/>
        </w:rPr>
        <w:object>
          <v:shape id="_x0000_i1032"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33"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Ansi="宋体"/>
          <w:bCs/>
          <w:sz w:val="24"/>
        </w:rPr>
        <w:t>为该生各门及格的学位课程的学分。</w:t>
      </w:r>
    </w:p>
    <w:p>
      <w:pPr>
        <w:widowControl w:val="0"/>
        <w:numPr>
          <w:ilvl w:val="0"/>
          <w:numId w:val="13"/>
        </w:numPr>
        <w:tabs>
          <w:tab w:val="left" w:pos="1200"/>
        </w:tabs>
        <w:ind w:firstLine="420"/>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960" w:hanging="960" w:hangingChars="400"/>
        <w:rPr>
          <w:bCs/>
          <w:sz w:val="24"/>
        </w:rPr>
      </w:pPr>
      <w:r>
        <w:rPr>
          <w:rFonts w:hint="eastAsia"/>
          <w:bCs/>
          <w:sz w:val="24"/>
        </w:rPr>
        <w:t xml:space="preserve"> </w:t>
      </w:r>
      <w:r>
        <w:rPr>
          <w:bCs/>
          <w:sz w:val="24"/>
        </w:rPr>
        <w:t xml:space="preserve">      </w:t>
      </w: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w:t>
      </w:r>
      <w:r>
        <w:rPr>
          <w:rFonts w:ascii="宋体" w:hAnsi="宋体"/>
          <w:bCs/>
          <w:sz w:val="24"/>
        </w:rPr>
        <w:t>硕士二年级学生</w:t>
      </w:r>
      <w:r>
        <w:rPr>
          <w:rFonts w:hint="eastAsia" w:ascii="宋体" w:hAnsi="宋体"/>
          <w:bCs/>
          <w:sz w:val="24"/>
        </w:rPr>
        <w:t>签字时附上成绩单）向评定工作组提交申请表和符合要求的证明材料及汇总表（详附表2-4，电子版和书面版同时提供），签署《诚信承诺书》（详附件）。</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r>
        <w:rPr>
          <w:rFonts w:hint="eastAsia" w:ascii="仿宋_GB2312"/>
          <w:b w:val="0"/>
          <w:bCs w:val="0"/>
          <w:sz w:val="24"/>
          <w:szCs w:val="28"/>
          <w:lang w:val="en-US" w:eastAsia="zh-CN"/>
        </w:rPr>
        <w:t>，深圳高等研究院学生拟采用线上答辩方式，单独排序</w:t>
      </w:r>
      <w:r>
        <w:rPr>
          <w:rFonts w:hint="eastAsia" w:ascii="宋体" w:hAnsi="宋体"/>
          <w:bCs/>
          <w:sz w:val="24"/>
        </w:rPr>
        <w:t>。</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答辩秘书汇总每位评委打分，计算</w:t>
      </w:r>
      <w:r>
        <w:rPr>
          <w:rFonts w:hAnsi="宋体"/>
          <w:bCs/>
          <w:sz w:val="24"/>
        </w:rPr>
        <w:t>学业奖学金答辩</w:t>
      </w:r>
      <w:r>
        <w:rPr>
          <w:rFonts w:hint="eastAsia" w:hAnsi="宋体"/>
          <w:bCs/>
          <w:sz w:val="24"/>
        </w:rPr>
        <w:t>得分</w:t>
      </w:r>
      <w:r>
        <w:rPr>
          <w:rFonts w:hint="eastAsia" w:ascii="宋体" w:hAnsi="宋体"/>
          <w:bCs/>
          <w:sz w:val="24"/>
        </w:rPr>
        <w:t>。</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申请者导师原则上不参与学生答辩环节打分。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17"/>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17"/>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17"/>
        </w:numPr>
        <w:spacing w:line="400" w:lineRule="exact"/>
        <w:jc w:val="both"/>
        <w:rPr>
          <w:rFonts w:ascii="宋体" w:hAnsi="宋体"/>
          <w:bCs/>
          <w:sz w:val="24"/>
        </w:rPr>
      </w:pPr>
      <w:r>
        <w:rPr>
          <w:rFonts w:hint="eastAsia" w:ascii="宋体" w:hAnsi="宋体"/>
          <w:bCs/>
          <w:sz w:val="24"/>
        </w:rPr>
        <w:t>期刊论文被SCI、SSCI或EI检索：需提供书面有效的检索证明。</w:t>
      </w:r>
    </w:p>
    <w:p>
      <w:pPr>
        <w:widowControl w:val="0"/>
        <w:numPr>
          <w:ilvl w:val="0"/>
          <w:numId w:val="17"/>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17"/>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17"/>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18"/>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18"/>
        </w:numPr>
        <w:spacing w:line="400" w:lineRule="exact"/>
        <w:jc w:val="both"/>
        <w:rPr>
          <w:rFonts w:ascii="宋体" w:hAnsi="宋体"/>
          <w:bCs/>
          <w:sz w:val="24"/>
        </w:rPr>
      </w:pPr>
      <w:r>
        <w:rPr>
          <w:rFonts w:ascii="宋体" w:hAnsi="宋体"/>
          <w:bCs/>
          <w:sz w:val="24"/>
        </w:rPr>
        <w:t>团体</w:t>
      </w:r>
      <w:r>
        <w:rPr>
          <w:rFonts w:hint="eastAsia" w:ascii="宋体" w:hAnsi="宋体"/>
          <w:bCs/>
          <w:sz w:val="24"/>
        </w:rPr>
        <w:t>奖需提供</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w:t>
      </w:r>
      <w:r>
        <w:rPr>
          <w:rFonts w:hint="eastAsia" w:ascii="宋体" w:hAnsi="宋体"/>
          <w:bCs/>
          <w:sz w:val="24"/>
          <w:lang w:val="en-US" w:eastAsia="zh-CN"/>
        </w:rPr>
        <w:t>1</w:t>
      </w:r>
      <w:r>
        <w:rPr>
          <w:rFonts w:hint="eastAsia" w:ascii="宋体" w:hAnsi="宋体"/>
          <w:bCs/>
          <w:sz w:val="24"/>
        </w:rPr>
        <w:t>年9月1日开始试行。</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本细则由经济与管理学院工商管理系和研究生科负责解释。</w:t>
      </w:r>
    </w:p>
    <w:p>
      <w:pPr>
        <w:spacing w:line="400" w:lineRule="exact"/>
      </w:pPr>
    </w:p>
    <w:p>
      <w:pPr>
        <w:spacing w:line="400" w:lineRule="exact"/>
        <w:rPr>
          <w:rFonts w:ascii="宋体" w:hAnsi="宋体"/>
          <w:b/>
          <w:bCs/>
          <w:szCs w:val="21"/>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firstLine="6934" w:firstLineChars="2878"/>
        <w:rPr>
          <w:rFonts w:ascii="宋体" w:hAnsi="宋体"/>
          <w:b/>
          <w:bCs/>
          <w:szCs w:val="21"/>
        </w:rPr>
      </w:pP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hint="eastAsia" w:ascii="Arial" w:hAnsi="Arial" w:eastAsia="宋体"/>
          <w:b/>
          <w:sz w:val="24"/>
        </w:rPr>
        <w:t>月</w:t>
      </w:r>
      <w:r>
        <w:rPr>
          <w:rFonts w:ascii="宋体" w:hAnsi="宋体"/>
          <w:b/>
          <w:bCs/>
          <w:szCs w:val="21"/>
        </w:rPr>
        <w:br w:type="page"/>
      </w:r>
      <w:r>
        <w:rPr>
          <w:rFonts w:hint="eastAsia" w:ascii="宋体" w:hAnsi="宋体"/>
          <w:b/>
          <w:bCs/>
          <w:szCs w:val="21"/>
        </w:rPr>
        <w:t>附件4：</w:t>
      </w:r>
    </w:p>
    <w:p>
      <w:pPr>
        <w:spacing w:line="360" w:lineRule="auto"/>
        <w:jc w:val="center"/>
        <w:rPr>
          <w:rFonts w:eastAsia="黑体"/>
          <w:sz w:val="32"/>
          <w:szCs w:val="32"/>
        </w:rPr>
      </w:pPr>
      <w:r>
        <w:rPr>
          <w:rFonts w:hint="eastAsia" w:eastAsia="黑体"/>
          <w:sz w:val="32"/>
          <w:szCs w:val="32"/>
        </w:rPr>
        <w:t>电子科技大学经济与管理学院管理科学与电子商务系</w:t>
      </w:r>
    </w:p>
    <w:p>
      <w:pPr>
        <w:spacing w:line="360" w:lineRule="auto"/>
        <w:jc w:val="center"/>
        <w:rPr>
          <w:rFonts w:eastAsia="黑体"/>
          <w:sz w:val="32"/>
          <w:szCs w:val="32"/>
        </w:rPr>
      </w:pPr>
      <w:r>
        <w:rPr>
          <w:rFonts w:eastAsia="黑体"/>
          <w:sz w:val="32"/>
          <w:szCs w:val="32"/>
        </w:rPr>
        <w:t>全日制</w:t>
      </w:r>
      <w:r>
        <w:rPr>
          <w:rFonts w:hint="eastAsia" w:eastAsia="黑体"/>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宋体" w:hAnsi="宋体"/>
          <w:bCs/>
          <w:sz w:val="24"/>
        </w:rPr>
        <w:t>管理科学与工程专业的二至三年级全日制学术型硕士研究生（定向生、委培生除外）。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遵守国家有关法律和学校的规章制度。</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申请时已达到硕士培养方案所要求的最低学位课程学分，公共基础课必修。</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硕士三年级学生申请时必须通过研究生毕业论文开题答辩。</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21"/>
        </w:numPr>
        <w:spacing w:line="400" w:lineRule="exact"/>
        <w:jc w:val="both"/>
        <w:rPr>
          <w:rFonts w:ascii="宋体" w:hAnsi="宋体"/>
          <w:bCs/>
          <w:sz w:val="24"/>
        </w:rPr>
      </w:pPr>
      <w:r>
        <w:rPr>
          <w:rFonts w:hint="eastAsia" w:ascii="宋体" w:hAnsi="宋体"/>
          <w:bCs/>
          <w:sz w:val="24"/>
        </w:rPr>
        <w:t>评奖年度受到纪律处分者；</w:t>
      </w:r>
    </w:p>
    <w:p>
      <w:pPr>
        <w:widowControl w:val="0"/>
        <w:numPr>
          <w:ilvl w:val="0"/>
          <w:numId w:val="21"/>
        </w:numPr>
        <w:spacing w:line="400" w:lineRule="exact"/>
        <w:jc w:val="both"/>
        <w:rPr>
          <w:rFonts w:ascii="宋体" w:hAnsi="宋体"/>
          <w:bCs/>
          <w:sz w:val="24"/>
        </w:rPr>
      </w:pPr>
      <w:r>
        <w:rPr>
          <w:rFonts w:hint="eastAsia" w:ascii="宋体" w:hAnsi="宋体"/>
          <w:bCs/>
          <w:sz w:val="24"/>
        </w:rPr>
        <w:t>导师认为不宜参评者；</w:t>
      </w:r>
    </w:p>
    <w:p>
      <w:pPr>
        <w:widowControl w:val="0"/>
        <w:numPr>
          <w:ilvl w:val="0"/>
          <w:numId w:val="21"/>
        </w:numPr>
        <w:spacing w:line="400" w:lineRule="exact"/>
        <w:jc w:val="both"/>
        <w:rPr>
          <w:rFonts w:ascii="宋体" w:hAnsi="宋体"/>
          <w:bCs/>
          <w:sz w:val="24"/>
        </w:rPr>
      </w:pPr>
      <w:r>
        <w:rPr>
          <w:rFonts w:hint="eastAsia" w:ascii="宋体" w:hAnsi="宋体"/>
          <w:bCs/>
          <w:sz w:val="24"/>
        </w:rPr>
        <w:t>本人当年未提出申请者；</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硕博连读研究生由于已享受当年博士生学业奖学金，因此不参与硕士生奖学金评定。</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20" w:firstLineChars="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spacing w:line="360" w:lineRule="auto"/>
        <w:ind w:firstLine="480"/>
        <w:rPr>
          <w:rFonts w:hAnsi="宋体"/>
          <w:bCs/>
          <w:sz w:val="24"/>
        </w:rPr>
      </w:pPr>
      <w:r>
        <w:rPr>
          <w:rFonts w:hint="eastAsia" w:ascii="宋体" w:hAnsi="宋体"/>
          <w:bCs/>
          <w:sz w:val="24"/>
        </w:rPr>
        <w:t>1.</w:t>
      </w:r>
      <w:r>
        <w:rPr>
          <w:rFonts w:hint="eastAsia" w:hAnsi="宋体"/>
          <w:bCs/>
          <w:sz w:val="24"/>
        </w:rPr>
        <w:t>硕士二年级学生评奖最终成绩以一年级阶段的课程学习成绩和学术研究成果为主，参考学业奖学金答辩，和导师打分，三者综合评价而成。其中课程学习成绩占比70%，学业奖学金答辩成绩占比20%，导师打分占比10%。</w:t>
      </w:r>
    </w:p>
    <w:p>
      <w:pPr>
        <w:spacing w:line="360" w:lineRule="auto"/>
        <w:ind w:firstLine="480"/>
        <w:rPr>
          <w:rFonts w:hAnsi="宋体"/>
          <w:bCs/>
          <w:sz w:val="24"/>
        </w:rPr>
      </w:pPr>
      <w:r>
        <w:rPr>
          <w:rFonts w:hint="eastAsia" w:ascii="宋体" w:hAnsi="宋体"/>
          <w:bCs/>
          <w:sz w:val="24"/>
        </w:rPr>
        <w:t>2.硕</w:t>
      </w:r>
      <w:r>
        <w:rPr>
          <w:rFonts w:hAnsi="宋体"/>
          <w:bCs/>
          <w:sz w:val="24"/>
        </w:rPr>
        <w:t>士三年级学生评奖最终成绩</w:t>
      </w:r>
      <w:r>
        <w:rPr>
          <w:rFonts w:hint="eastAsia" w:hAnsi="宋体"/>
          <w:bCs/>
          <w:sz w:val="24"/>
        </w:rPr>
        <w:t>以二年级阶段的科研成果为主，参考学业奖学金答辩表现，导师打分，二者综合评价而成。其中导师打分占比10%，学业奖学金答辩成绩占比90%。</w:t>
      </w:r>
    </w:p>
    <w:p>
      <w:pPr>
        <w:spacing w:line="360" w:lineRule="auto"/>
        <w:ind w:firstLine="480"/>
        <w:rPr>
          <w:rFonts w:hAnsi="宋体"/>
          <w:bCs/>
          <w:sz w:val="24"/>
        </w:rPr>
      </w:pPr>
      <w:r>
        <w:rPr>
          <w:rFonts w:hint="eastAsia" w:ascii="宋体" w:hAnsi="宋体"/>
          <w:bCs/>
          <w:sz w:val="24"/>
        </w:rPr>
        <w:t>3.学术</w:t>
      </w:r>
      <w:r>
        <w:rPr>
          <w:rFonts w:hint="eastAsia" w:hAnsi="宋体"/>
          <w:bCs/>
          <w:sz w:val="24"/>
        </w:rPr>
        <w:t>研究成果的主要体现形式是学术期刊论文，学术期刊列表参见评选年度《经济与管理学院科研奖励条例》，公共服务与社会实践、竞赛获奖由评审老师根据学生参与服务活动类别、获奖级别给出。</w:t>
      </w:r>
    </w:p>
    <w:p>
      <w:pPr>
        <w:spacing w:line="360" w:lineRule="auto"/>
        <w:ind w:firstLine="480"/>
        <w:rPr>
          <w:rFonts w:hint="eastAsia" w:hAnsi="宋体"/>
          <w:bCs/>
          <w:sz w:val="24"/>
        </w:rPr>
      </w:pPr>
      <w:r>
        <w:rPr>
          <w:rFonts w:hint="eastAsia" w:ascii="宋体" w:hAnsi="宋体"/>
          <w:bCs/>
          <w:sz w:val="24"/>
        </w:rPr>
        <w:t>4.具体答</w:t>
      </w:r>
      <w:r>
        <w:rPr>
          <w:rFonts w:hint="eastAsia" w:hAnsi="宋体"/>
          <w:bCs/>
          <w:sz w:val="24"/>
        </w:rPr>
        <w:t>辩评分参考附件</w:t>
      </w:r>
      <w:r>
        <w:rPr>
          <w:rFonts w:ascii="宋体" w:hAnsi="宋体"/>
          <w:bCs/>
          <w:sz w:val="24"/>
        </w:rPr>
        <w:t>7</w:t>
      </w:r>
      <w:r>
        <w:rPr>
          <w:rFonts w:hint="eastAsia" w:hAnsi="宋体"/>
          <w:bCs/>
          <w:sz w:val="24"/>
        </w:rPr>
        <w:t>：电子科技大学经济与管理学院研究生学业奖学金答辩评分依据。</w:t>
      </w:r>
    </w:p>
    <w:p>
      <w:pPr>
        <w:widowControl w:val="0"/>
        <w:numPr>
          <w:ilvl w:val="-1"/>
          <w:numId w:val="0"/>
        </w:numPr>
        <w:tabs>
          <w:tab w:val="left" w:pos="840"/>
        </w:tabs>
        <w:spacing w:line="400" w:lineRule="exact"/>
        <w:ind w:left="0" w:firstLine="480" w:firstLineChars="200"/>
        <w:jc w:val="both"/>
        <w:rPr>
          <w:rFonts w:hint="default" w:hAnsi="宋体" w:eastAsiaTheme="minorEastAsia"/>
          <w:bCs/>
          <w:sz w:val="24"/>
          <w:lang w:val="en-US" w:eastAsia="zh-CN"/>
        </w:rPr>
      </w:pPr>
      <w:r>
        <w:rPr>
          <w:rFonts w:hint="eastAsia" w:hAnsi="宋体"/>
          <w:bCs/>
          <w:sz w:val="24"/>
          <w:lang w:val="en-US" w:eastAsia="zh-CN"/>
        </w:rPr>
        <w:t>5.</w:t>
      </w:r>
      <w:r>
        <w:rPr>
          <w:rFonts w:hint="eastAsia" w:ascii="宋体" w:hAnsi="宋体"/>
          <w:b w:val="0"/>
          <w:bCs w:val="0"/>
          <w:sz w:val="24"/>
          <w:lang w:val="en-US" w:eastAsia="zh-CN"/>
        </w:rPr>
        <w:t>深圳高等研究院学生，在系内按人数比例分配名额。</w:t>
      </w:r>
    </w:p>
    <w:p>
      <w:pPr>
        <w:widowControl w:val="0"/>
        <w:tabs>
          <w:tab w:val="left" w:pos="840"/>
        </w:tabs>
        <w:spacing w:line="400" w:lineRule="exact"/>
        <w:ind w:left="0" w:firstLine="480" w:firstLineChars="200"/>
        <w:jc w:val="both"/>
        <w:rPr>
          <w:rFonts w:hAnsi="宋体"/>
          <w:bCs/>
          <w:sz w:val="24"/>
        </w:rPr>
      </w:pPr>
      <w:r>
        <w:rPr>
          <w:rFonts w:hint="eastAsia" w:ascii="宋体" w:hAnsi="宋体"/>
          <w:bCs/>
          <w:sz w:val="24"/>
          <w:lang w:val="en-US" w:eastAsia="zh-CN"/>
        </w:rPr>
        <w:t>6</w:t>
      </w:r>
      <w:r>
        <w:rPr>
          <w:rFonts w:hint="eastAsia" w:ascii="宋体" w:hAnsi="宋体"/>
          <w:bCs/>
          <w:sz w:val="24"/>
        </w:rPr>
        <w:t>.</w:t>
      </w: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22"/>
        </w:numPr>
        <w:jc w:val="both"/>
        <w:rPr>
          <w:bCs/>
          <w:sz w:val="24"/>
        </w:rPr>
      </w:pPr>
      <w:r>
        <w:rPr>
          <w:rFonts w:hAnsi="宋体"/>
          <w:bCs/>
          <w:sz w:val="24"/>
        </w:rPr>
        <w:t>某门课程的相对分</w:t>
      </w:r>
      <w:r>
        <w:rPr>
          <w:bCs/>
          <w:position w:val="-12"/>
          <w:sz w:val="24"/>
        </w:rPr>
        <w:object>
          <v:shape id="_x0000_i1034"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34" DrawAspect="Content" ObjectID="_1468075734" r:id="rId22">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35"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35" DrawAspect="Content" ObjectID="_1468075735" r:id="rId23">
            <o:LockedField>false</o:LockedField>
          </o:OLEObject>
        </w:object>
      </w:r>
      <w:r>
        <w:rPr>
          <w:rFonts w:eastAsia="仿宋"/>
          <w:position w:val="-12"/>
          <w:szCs w:val="21"/>
        </w:rPr>
        <w:object>
          <v:shape id="_x0000_i1036"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36" DrawAspect="Content" ObjectID="_1468075736" r:id="rId24">
            <o:LockedField>false</o:LockedField>
          </o:OLEObject>
        </w:object>
      </w:r>
      <w:r>
        <w:rPr>
          <w:rFonts w:hAnsi="仿宋" w:eastAsia="仿宋"/>
          <w:szCs w:val="21"/>
        </w:rPr>
        <w:t>－</w:t>
      </w:r>
      <w:r>
        <w:rPr>
          <w:rFonts w:eastAsia="仿宋"/>
          <w:position w:val="-4"/>
          <w:szCs w:val="21"/>
        </w:rPr>
        <w:object>
          <v:shape id="_x0000_i1037"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37" DrawAspect="Content" ObjectID="_1468075737" r:id="rId25">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38"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38" DrawAspect="Content" ObjectID="_1468075738" r:id="rId26">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39"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39" DrawAspect="Content" ObjectID="_1468075739" r:id="rId27">
            <o:LockedField>false</o:LockedField>
          </o:OLEObject>
        </w:object>
      </w:r>
      <w:r>
        <w:rPr>
          <w:rFonts w:hAnsi="宋体"/>
          <w:bCs/>
          <w:sz w:val="24"/>
        </w:rPr>
        <w:t>为该门课程的本院全年级平均分。</w:t>
      </w:r>
    </w:p>
    <w:p>
      <w:pPr>
        <w:widowControl w:val="0"/>
        <w:numPr>
          <w:ilvl w:val="0"/>
          <w:numId w:val="22"/>
        </w:numPr>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40"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40" DrawAspect="Content" ObjectID="_1468075740" r:id="rId28">
            <o:LockedField>false</o:LockedField>
          </o:OLEObject>
        </w:object>
      </w:r>
      <w:r>
        <w:rPr>
          <w:rFonts w:eastAsia="仿宋"/>
          <w:position w:val="-28"/>
          <w:szCs w:val="21"/>
        </w:rPr>
        <w:object>
          <v:shape id="_x0000_i1041"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41" DrawAspect="Content" ObjectID="_1468075741" r:id="rId29">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42"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42" DrawAspect="Content" ObjectID="_1468075742" r:id="rId30">
            <o:LockedField>false</o:LockedField>
          </o:OLEObject>
        </w:object>
      </w:r>
      <w:r>
        <w:rPr>
          <w:rFonts w:hAnsi="宋体"/>
          <w:bCs/>
          <w:sz w:val="24"/>
        </w:rPr>
        <w:t>为该生各门及格的学位课程的学分。</w:t>
      </w:r>
    </w:p>
    <w:p>
      <w:pPr>
        <w:widowControl w:val="0"/>
        <w:numPr>
          <w:ilvl w:val="0"/>
          <w:numId w:val="22"/>
        </w:numPr>
        <w:spacing w:line="400" w:lineRule="exact"/>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840"/>
        <w:rPr>
          <w:bCs/>
          <w:sz w:val="24"/>
        </w:rPr>
      </w:pP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r>
        <w:rPr>
          <w:rFonts w:hint="eastAsia" w:ascii="仿宋_GB2312"/>
          <w:b w:val="0"/>
          <w:bCs w:val="0"/>
          <w:sz w:val="24"/>
          <w:szCs w:val="28"/>
          <w:lang w:val="en-US" w:eastAsia="zh-CN"/>
        </w:rPr>
        <w:t>，深圳</w:t>
      </w:r>
      <w:r>
        <w:rPr>
          <w:rFonts w:hint="eastAsia" w:ascii="宋体" w:hAnsi="宋体"/>
          <w:b w:val="0"/>
          <w:bCs w:val="0"/>
          <w:sz w:val="24"/>
          <w:lang w:val="en-US" w:eastAsia="zh-CN"/>
        </w:rPr>
        <w:t>高等研究院</w:t>
      </w:r>
      <w:r>
        <w:rPr>
          <w:rFonts w:hint="eastAsia" w:ascii="仿宋_GB2312"/>
          <w:b w:val="0"/>
          <w:bCs w:val="0"/>
          <w:sz w:val="24"/>
          <w:szCs w:val="28"/>
          <w:lang w:val="en-US" w:eastAsia="zh-CN"/>
        </w:rPr>
        <w:t>学生拟采用线上答辩方式，单独排序</w:t>
      </w:r>
      <w:r>
        <w:rPr>
          <w:rFonts w:hint="eastAsia" w:ascii="宋体" w:hAnsi="宋体"/>
          <w:bCs/>
          <w:sz w:val="24"/>
        </w:rPr>
        <w:t>。</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答辩秘书汇总每位评委打分，计算</w:t>
      </w:r>
      <w:r>
        <w:rPr>
          <w:rFonts w:ascii="宋体" w:hAnsi="宋体"/>
          <w:bCs/>
          <w:sz w:val="24"/>
        </w:rPr>
        <w:t>学业奖学金答辩</w:t>
      </w:r>
      <w:r>
        <w:rPr>
          <w:rFonts w:hint="eastAsia" w:ascii="宋体" w:hAnsi="宋体"/>
          <w:bCs/>
          <w:sz w:val="24"/>
        </w:rPr>
        <w:t>得分。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26"/>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26"/>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26"/>
        </w:numPr>
        <w:spacing w:line="400" w:lineRule="exact"/>
        <w:jc w:val="both"/>
        <w:rPr>
          <w:rFonts w:ascii="宋体" w:hAnsi="宋体"/>
          <w:bCs/>
          <w:sz w:val="24"/>
        </w:rPr>
      </w:pPr>
      <w:r>
        <w:rPr>
          <w:rFonts w:hint="eastAsia" w:ascii="宋体" w:hAnsi="宋体"/>
          <w:bCs/>
          <w:sz w:val="24"/>
        </w:rPr>
        <w:t>期刊论文被SCI、 SSCI或EI检索：需提供书面有效的检索证明。</w:t>
      </w:r>
    </w:p>
    <w:p>
      <w:pPr>
        <w:widowControl w:val="0"/>
        <w:numPr>
          <w:ilvl w:val="0"/>
          <w:numId w:val="26"/>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26"/>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26"/>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27"/>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27"/>
        </w:numPr>
        <w:spacing w:line="400" w:lineRule="exact"/>
        <w:jc w:val="both"/>
        <w:rPr>
          <w:rFonts w:ascii="宋体" w:hAnsi="宋体"/>
          <w:bCs/>
          <w:sz w:val="24"/>
        </w:rPr>
      </w:pPr>
      <w:r>
        <w:rPr>
          <w:rFonts w:hint="eastAsia" w:ascii="宋体" w:hAnsi="宋体"/>
          <w:bCs/>
          <w:sz w:val="24"/>
        </w:rPr>
        <w:t>根据需要提供其它相关获奖证明材料等。</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w:t>
      </w:r>
      <w:r>
        <w:rPr>
          <w:rFonts w:hint="eastAsia" w:ascii="宋体" w:hAnsi="宋体"/>
          <w:bCs/>
          <w:sz w:val="24"/>
          <w:lang w:val="en-US" w:eastAsia="zh-CN"/>
        </w:rPr>
        <w:t>1</w:t>
      </w:r>
      <w:r>
        <w:rPr>
          <w:rFonts w:hint="eastAsia" w:ascii="宋体" w:hAnsi="宋体"/>
          <w:bCs/>
          <w:sz w:val="24"/>
        </w:rPr>
        <w:t>年9月1日开始试行。</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本细则由经济与管理学院管理科学与电子商务系、研究生科负责解释。</w:t>
      </w:r>
    </w:p>
    <w:p>
      <w:pPr>
        <w:spacing w:line="400" w:lineRule="exact"/>
      </w:pPr>
    </w:p>
    <w:p>
      <w:pPr>
        <w:spacing w:line="360" w:lineRule="auto"/>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360" w:lineRule="auto"/>
        <w:jc w:val="right"/>
        <w:rPr>
          <w:rFonts w:ascii="Arial" w:hAnsi="Arial" w:eastAsia="宋体"/>
          <w:b/>
          <w:sz w:val="24"/>
        </w:rPr>
      </w:pPr>
      <w:r>
        <w:rPr>
          <w:rFonts w:ascii="Arial" w:hAnsi="Arial" w:eastAsia="Arial"/>
          <w:b/>
          <w:sz w:val="24"/>
        </w:rPr>
        <w:t xml:space="preserve"> </w:t>
      </w: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hint="eastAsia" w:ascii="Arial" w:hAnsi="Arial" w:eastAsia="宋体"/>
          <w:b/>
          <w:sz w:val="24"/>
        </w:rPr>
        <w:t>月</w:t>
      </w:r>
    </w:p>
    <w:p>
      <w:pPr>
        <w:spacing w:line="360" w:lineRule="auto"/>
      </w:pPr>
    </w:p>
    <w:p>
      <w:pPr>
        <w:spacing w:line="360" w:lineRule="auto"/>
      </w:pPr>
    </w:p>
    <w:p>
      <w:pPr>
        <w:spacing w:line="360" w:lineRule="auto"/>
        <w:jc w:val="right"/>
        <w:rPr>
          <w:rFonts w:ascii="宋体" w:hAnsi="宋体"/>
          <w:b/>
          <w:bCs/>
          <w:sz w:val="24"/>
        </w:rPr>
      </w:pPr>
    </w:p>
    <w:p>
      <w:pPr>
        <w:spacing w:line="360" w:lineRule="auto"/>
        <w:rPr>
          <w:rFonts w:ascii="宋体" w:hAnsi="宋体"/>
          <w:b/>
          <w:bCs/>
          <w:sz w:val="24"/>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b/>
          <w:szCs w:val="21"/>
        </w:rPr>
      </w:pPr>
      <w:r>
        <w:rPr>
          <w:rFonts w:hint="eastAsia" w:asciiTheme="minorEastAsia" w:hAnsiTheme="minorEastAsia"/>
          <w:b/>
          <w:szCs w:val="21"/>
        </w:rPr>
        <w:t>附件5：</w:t>
      </w:r>
    </w:p>
    <w:p>
      <w:pPr>
        <w:spacing w:line="360" w:lineRule="auto"/>
        <w:jc w:val="center"/>
        <w:rPr>
          <w:rFonts w:eastAsia="黑体"/>
          <w:b/>
          <w:sz w:val="32"/>
          <w:szCs w:val="32"/>
        </w:rPr>
      </w:pPr>
      <w:r>
        <w:rPr>
          <w:rFonts w:hint="eastAsia" w:eastAsia="黑体"/>
          <w:b/>
          <w:sz w:val="32"/>
          <w:szCs w:val="32"/>
        </w:rPr>
        <w:t>电子科技大学经济与管理学院经济学与金融学系</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仿宋_GB2312"/>
          <w:b w:val="0"/>
          <w:bCs w:val="0"/>
          <w:sz w:val="24"/>
          <w:szCs w:val="28"/>
        </w:rPr>
        <w:t>应用经济学</w:t>
      </w:r>
      <w:r>
        <w:rPr>
          <w:rFonts w:hint="eastAsia" w:ascii="宋体" w:hAnsi="宋体"/>
          <w:bCs/>
          <w:sz w:val="24"/>
        </w:rPr>
        <w:t>专业的二至三年级全日制学术型硕士研究生（定向生、委培生除外）。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遵守国家有关法律和学校的规章制度。</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3</w:t>
      </w:r>
      <w:r>
        <w:rPr>
          <w:rFonts w:ascii="宋体" w:hAnsi="宋体"/>
          <w:bCs/>
          <w:sz w:val="24"/>
        </w:rPr>
        <w:t>.申请</w:t>
      </w:r>
      <w:r>
        <w:rPr>
          <w:rFonts w:hint="eastAsia" w:ascii="宋体" w:hAnsi="宋体"/>
          <w:bCs/>
          <w:sz w:val="24"/>
        </w:rPr>
        <w:t>时已达到硕士培养方案所要求的最低学位课程学分，公共基础课必修。</w:t>
      </w:r>
    </w:p>
    <w:p>
      <w:pPr>
        <w:widowControl w:val="0"/>
        <w:tabs>
          <w:tab w:val="left" w:pos="1060"/>
          <w:tab w:val="left" w:pos="1200"/>
        </w:tabs>
        <w:spacing w:line="400" w:lineRule="exact"/>
        <w:jc w:val="both"/>
        <w:rPr>
          <w:rFonts w:ascii="宋体" w:hAnsi="宋体"/>
          <w:bCs/>
          <w:sz w:val="24"/>
        </w:rPr>
      </w:pPr>
      <w:r>
        <w:rPr>
          <w:rFonts w:ascii="宋体" w:hAnsi="宋体"/>
          <w:bCs/>
          <w:sz w:val="24"/>
        </w:rPr>
        <w:t>4.</w:t>
      </w:r>
      <w:r>
        <w:rPr>
          <w:rFonts w:hint="eastAsia" w:ascii="宋体" w:hAnsi="宋体"/>
          <w:bCs/>
          <w:sz w:val="24"/>
        </w:rPr>
        <w:t>三年级学生申请时必须通过研究生毕业论文开题答辩。</w:t>
      </w:r>
    </w:p>
    <w:p>
      <w:pPr>
        <w:widowControl w:val="0"/>
        <w:tabs>
          <w:tab w:val="left" w:pos="1060"/>
          <w:tab w:val="left" w:pos="1200"/>
        </w:tabs>
        <w:spacing w:line="400" w:lineRule="exact"/>
        <w:jc w:val="both"/>
        <w:rPr>
          <w:rFonts w:ascii="宋体" w:hAnsi="宋体"/>
          <w:bCs/>
          <w:sz w:val="24"/>
        </w:rPr>
      </w:pPr>
      <w:r>
        <w:rPr>
          <w:rFonts w:ascii="宋体" w:hAnsi="宋体"/>
          <w:bCs/>
          <w:sz w:val="24"/>
        </w:rPr>
        <w:t>5.</w:t>
      </w:r>
      <w:r>
        <w:rPr>
          <w:rFonts w:hint="eastAsia" w:ascii="宋体" w:hAnsi="宋体"/>
          <w:bCs/>
          <w:sz w:val="24"/>
        </w:rPr>
        <w:t>下情况之一者不能参加当年奖学金的评定：</w:t>
      </w:r>
    </w:p>
    <w:p>
      <w:pPr>
        <w:widowControl w:val="0"/>
        <w:tabs>
          <w:tab w:val="left" w:pos="1200"/>
        </w:tabs>
        <w:spacing w:line="400" w:lineRule="exact"/>
        <w:ind w:firstLine="240" w:firstLineChars="100"/>
        <w:jc w:val="both"/>
        <w:rPr>
          <w:rFonts w:ascii="宋体" w:hAnsi="宋体"/>
          <w:bCs/>
          <w:sz w:val="24"/>
        </w:rPr>
      </w:pPr>
      <w:r>
        <w:rPr>
          <w:rFonts w:hint="eastAsia" w:ascii="宋体" w:hAnsi="宋体"/>
          <w:bCs/>
          <w:sz w:val="24"/>
        </w:rPr>
        <w:t>①评奖年度受到纪律处分者；</w:t>
      </w:r>
    </w:p>
    <w:p>
      <w:pPr>
        <w:widowControl w:val="0"/>
        <w:tabs>
          <w:tab w:val="left" w:pos="1200"/>
        </w:tabs>
        <w:spacing w:line="400" w:lineRule="exact"/>
        <w:ind w:firstLine="240" w:firstLineChars="100"/>
        <w:jc w:val="both"/>
        <w:rPr>
          <w:rFonts w:ascii="宋体" w:hAnsi="宋体"/>
          <w:bCs/>
          <w:sz w:val="24"/>
        </w:rPr>
      </w:pPr>
      <w:r>
        <w:rPr>
          <w:rFonts w:hint="eastAsia" w:ascii="宋体" w:hAnsi="宋体"/>
          <w:bCs/>
          <w:sz w:val="24"/>
        </w:rPr>
        <w:t>②导师认为不宜参评者；</w:t>
      </w:r>
    </w:p>
    <w:p>
      <w:pPr>
        <w:widowControl w:val="0"/>
        <w:tabs>
          <w:tab w:val="left" w:pos="1200"/>
        </w:tabs>
        <w:spacing w:line="400" w:lineRule="exact"/>
        <w:ind w:firstLine="240" w:firstLineChars="100"/>
        <w:jc w:val="both"/>
        <w:rPr>
          <w:rFonts w:hint="eastAsia" w:ascii="宋体" w:hAnsi="宋体"/>
          <w:bCs/>
          <w:sz w:val="24"/>
        </w:rPr>
      </w:pPr>
      <w:r>
        <w:rPr>
          <w:rFonts w:hint="eastAsia" w:ascii="宋体" w:hAnsi="宋体"/>
          <w:bCs/>
          <w:sz w:val="24"/>
        </w:rPr>
        <w:t>③本人当年未提出申请者；</w:t>
      </w:r>
    </w:p>
    <w:p>
      <w:pPr>
        <w:widowControl w:val="0"/>
        <w:spacing w:line="400" w:lineRule="exact"/>
        <w:jc w:val="both"/>
        <w:rPr>
          <w:rFonts w:ascii="宋体" w:hAnsi="宋体"/>
          <w:bCs/>
          <w:sz w:val="24"/>
        </w:rPr>
      </w:pPr>
      <w:r>
        <w:rPr>
          <w:rFonts w:hint="eastAsia" w:ascii="宋体" w:hAnsi="宋体"/>
          <w:bCs/>
          <w:sz w:val="24"/>
        </w:rPr>
        <w:t>6</w:t>
      </w:r>
      <w:r>
        <w:rPr>
          <w:rFonts w:ascii="宋体" w:hAnsi="宋体"/>
          <w:bCs/>
          <w:sz w:val="24"/>
        </w:rPr>
        <w:t>.硕博</w:t>
      </w:r>
      <w:r>
        <w:rPr>
          <w:rFonts w:hint="eastAsia" w:ascii="宋体" w:hAnsi="宋体"/>
          <w:bCs/>
          <w:sz w:val="24"/>
        </w:rPr>
        <w:t>连读研究生由于已享受当年博士生学业奖学金，因此不参与硕士生奖学金评定。</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numPr>
          <w:ilvl w:val="0"/>
          <w:numId w:val="29"/>
        </w:numPr>
        <w:tabs>
          <w:tab w:val="left" w:pos="840"/>
        </w:tabs>
        <w:spacing w:line="400" w:lineRule="exact"/>
        <w:ind w:left="840"/>
        <w:jc w:val="both"/>
        <w:rPr>
          <w:bCs/>
          <w:sz w:val="24"/>
        </w:rPr>
      </w:pPr>
      <w:r>
        <w:rPr>
          <w:rFonts w:hint="eastAsia" w:hAnsi="宋体"/>
          <w:bCs/>
          <w:sz w:val="24"/>
        </w:rPr>
        <w:t>硕士二年级学生评奖最终成绩 =课程学习得分+其它得分</w:t>
      </w:r>
    </w:p>
    <w:p>
      <w:pPr>
        <w:spacing w:line="400" w:lineRule="exact"/>
        <w:ind w:left="657" w:leftChars="313" w:firstLine="360" w:firstLineChars="150"/>
        <w:rPr>
          <w:bCs/>
          <w:sz w:val="24"/>
        </w:rPr>
      </w:pPr>
      <w:r>
        <w:rPr>
          <w:rFonts w:hint="eastAsia" w:hAnsi="宋体"/>
          <w:bCs/>
          <w:sz w:val="24"/>
        </w:rPr>
        <w:t>课程学习得分：占70%，即相对学分积的得分。</w:t>
      </w:r>
    </w:p>
    <w:p>
      <w:pPr>
        <w:spacing w:line="400" w:lineRule="exact"/>
        <w:ind w:left="657" w:leftChars="313" w:firstLine="360" w:firstLineChars="150"/>
        <w:rPr>
          <w:bCs/>
          <w:sz w:val="24"/>
        </w:rPr>
      </w:pPr>
      <w:r>
        <w:rPr>
          <w:rFonts w:hint="eastAsia" w:hAnsi="宋体"/>
          <w:bCs/>
          <w:sz w:val="24"/>
        </w:rPr>
        <w:t>其它得分：占30%，其中学业奖学金答辩得分占20%，导师评分占10%。</w:t>
      </w:r>
    </w:p>
    <w:p>
      <w:pPr>
        <w:widowControl w:val="0"/>
        <w:numPr>
          <w:ilvl w:val="0"/>
          <w:numId w:val="29"/>
        </w:numPr>
        <w:tabs>
          <w:tab w:val="left" w:pos="840"/>
        </w:tabs>
        <w:spacing w:line="400" w:lineRule="exact"/>
        <w:ind w:left="840"/>
        <w:jc w:val="both"/>
        <w:rPr>
          <w:rFonts w:hAnsi="宋体"/>
          <w:bCs/>
          <w:sz w:val="24"/>
        </w:rPr>
      </w:pPr>
      <w:r>
        <w:rPr>
          <w:rFonts w:hAnsi="宋体"/>
          <w:bCs/>
          <w:sz w:val="24"/>
        </w:rPr>
        <w:t>硕士三年级学生评奖最终成绩=学业奖学金答辩得分+其它得分</w:t>
      </w:r>
    </w:p>
    <w:p>
      <w:pPr>
        <w:spacing w:line="400" w:lineRule="exact"/>
        <w:ind w:left="657" w:leftChars="313" w:firstLine="360" w:firstLineChars="150"/>
        <w:rPr>
          <w:rFonts w:hint="eastAsia" w:hAnsi="宋体"/>
          <w:bCs/>
          <w:sz w:val="24"/>
        </w:rPr>
      </w:pPr>
      <w:r>
        <w:rPr>
          <w:rFonts w:hint="eastAsia" w:hAnsi="宋体"/>
          <w:bCs/>
          <w:sz w:val="24"/>
        </w:rPr>
        <w:t>学业奖学金答辩得分：占70%</w:t>
      </w:r>
    </w:p>
    <w:p>
      <w:pPr>
        <w:spacing w:line="400" w:lineRule="exact"/>
        <w:ind w:left="657" w:leftChars="313" w:firstLine="360" w:firstLineChars="150"/>
        <w:rPr>
          <w:rFonts w:hint="eastAsia" w:hAnsi="宋体"/>
          <w:bCs/>
          <w:sz w:val="24"/>
        </w:rPr>
      </w:pPr>
      <w:r>
        <w:rPr>
          <w:rFonts w:hint="eastAsia" w:hAnsi="宋体"/>
          <w:bCs/>
          <w:sz w:val="24"/>
        </w:rPr>
        <w:t>其它得分：占30%，即导师评分（10%）和开题评分（20%）</w:t>
      </w:r>
    </w:p>
    <w:p>
      <w:pPr>
        <w:spacing w:line="400" w:lineRule="exact"/>
        <w:ind w:left="657" w:leftChars="313" w:firstLine="360" w:firstLineChars="150"/>
        <w:rPr>
          <w:rFonts w:hAnsi="宋体"/>
          <w:bCs/>
          <w:sz w:val="24"/>
        </w:rPr>
      </w:pPr>
      <w:r>
        <w:rPr>
          <w:rFonts w:hint="eastAsia" w:hAnsi="宋体"/>
          <w:bCs/>
          <w:sz w:val="24"/>
        </w:rPr>
        <w:t>备注：开题成绩的计算按照开题组每位老师给出成绩的平均分（百分制）</w:t>
      </w:r>
    </w:p>
    <w:p>
      <w:pPr>
        <w:widowControl w:val="0"/>
        <w:numPr>
          <w:ilvl w:val="0"/>
          <w:numId w:val="29"/>
        </w:numPr>
        <w:tabs>
          <w:tab w:val="left" w:pos="840"/>
        </w:tabs>
        <w:spacing w:line="400" w:lineRule="exact"/>
        <w:ind w:left="840"/>
        <w:jc w:val="both"/>
        <w:rPr>
          <w:rFonts w:hAnsi="宋体"/>
          <w:bCs/>
          <w:sz w:val="24"/>
        </w:rPr>
      </w:pPr>
      <w:r>
        <w:rPr>
          <w:rFonts w:hint="eastAsia" w:hAnsi="宋体"/>
          <w:bCs/>
          <w:sz w:val="24"/>
        </w:rPr>
        <w:t>答辩评分参考附件</w:t>
      </w:r>
      <w:r>
        <w:rPr>
          <w:rFonts w:hAnsi="宋体"/>
          <w:bCs/>
          <w:sz w:val="24"/>
        </w:rPr>
        <w:t>7</w:t>
      </w:r>
      <w:r>
        <w:rPr>
          <w:rFonts w:hint="eastAsia" w:hAnsi="宋体"/>
          <w:bCs/>
          <w:sz w:val="24"/>
        </w:rPr>
        <w:t>：电子科技大学经济与管理学院研究生学业奖学金答辩评分依据</w:t>
      </w:r>
    </w:p>
    <w:p>
      <w:pPr>
        <w:widowControl w:val="0"/>
        <w:numPr>
          <w:ilvl w:val="0"/>
          <w:numId w:val="29"/>
        </w:numPr>
        <w:tabs>
          <w:tab w:val="left" w:pos="840"/>
        </w:tabs>
        <w:spacing w:line="360" w:lineRule="auto"/>
        <w:ind w:left="840"/>
        <w:jc w:val="both"/>
        <w:rPr>
          <w:rFonts w:hAnsi="宋体"/>
          <w:bCs/>
          <w:sz w:val="24"/>
        </w:rPr>
      </w:pP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30"/>
        </w:numPr>
        <w:jc w:val="both"/>
        <w:rPr>
          <w:bCs/>
          <w:sz w:val="24"/>
        </w:rPr>
      </w:pPr>
      <w:r>
        <w:rPr>
          <w:rFonts w:hAnsi="宋体"/>
          <w:bCs/>
          <w:sz w:val="24"/>
        </w:rPr>
        <w:t>某门课程的相对分</w:t>
      </w:r>
      <w:r>
        <w:rPr>
          <w:bCs/>
          <w:position w:val="-12"/>
          <w:sz w:val="24"/>
        </w:rPr>
        <w:object>
          <v:shape id="_x0000_i1043"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43" DrawAspect="Content" ObjectID="_1468075743" r:id="rId31">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44"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44" DrawAspect="Content" ObjectID="_1468075744" r:id="rId32">
            <o:LockedField>false</o:LockedField>
          </o:OLEObject>
        </w:object>
      </w:r>
      <w:r>
        <w:rPr>
          <w:rFonts w:eastAsia="仿宋"/>
          <w:position w:val="-12"/>
          <w:szCs w:val="21"/>
        </w:rPr>
        <w:object>
          <v:shape id="_x0000_i1045"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45" DrawAspect="Content" ObjectID="_1468075745" r:id="rId33">
            <o:LockedField>false</o:LockedField>
          </o:OLEObject>
        </w:object>
      </w:r>
      <w:r>
        <w:rPr>
          <w:rFonts w:hAnsi="仿宋" w:eastAsia="仿宋"/>
          <w:szCs w:val="21"/>
        </w:rPr>
        <w:t>－</w:t>
      </w:r>
      <w:r>
        <w:rPr>
          <w:rFonts w:eastAsia="仿宋"/>
          <w:position w:val="-4"/>
          <w:szCs w:val="21"/>
        </w:rPr>
        <w:object>
          <v:shape id="_x0000_i1046"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46" DrawAspect="Content" ObjectID="_1468075746" r:id="rId34">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47"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47" DrawAspect="Content" ObjectID="_1468075747" r:id="rId35">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48"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48" DrawAspect="Content" ObjectID="_1468075748" r:id="rId36">
            <o:LockedField>false</o:LockedField>
          </o:OLEObject>
        </w:object>
      </w:r>
      <w:r>
        <w:rPr>
          <w:rFonts w:hAnsi="宋体"/>
          <w:bCs/>
          <w:sz w:val="24"/>
        </w:rPr>
        <w:t>为该门课程的本院全年级平均分。</w:t>
      </w:r>
    </w:p>
    <w:p>
      <w:pPr>
        <w:widowControl w:val="0"/>
        <w:numPr>
          <w:ilvl w:val="0"/>
          <w:numId w:val="30"/>
        </w:numPr>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szCs w:val="21"/>
        </w:rPr>
        <w:t xml:space="preserve"> </w:t>
      </w:r>
      <w:r>
        <w:rPr>
          <w:rFonts w:eastAsia="仿宋"/>
          <w:position w:val="-6"/>
          <w:szCs w:val="21"/>
        </w:rPr>
        <w:object>
          <v:shape id="_x0000_i1049"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49" DrawAspect="Content" ObjectID="_1468075749" r:id="rId37">
            <o:LockedField>false</o:LockedField>
          </o:OLEObject>
        </w:object>
      </w:r>
      <w:r>
        <w:rPr>
          <w:rFonts w:eastAsia="仿宋"/>
          <w:position w:val="-28"/>
          <w:szCs w:val="21"/>
        </w:rPr>
        <w:object>
          <v:shape id="_x0000_i1050"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50" DrawAspect="Content" ObjectID="_1468075750" r:id="rId38">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51"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51" DrawAspect="Content" ObjectID="_1468075751" r:id="rId39">
            <o:LockedField>false</o:LockedField>
          </o:OLEObject>
        </w:object>
      </w:r>
      <w:r>
        <w:rPr>
          <w:rFonts w:hAnsi="宋体"/>
          <w:bCs/>
          <w:sz w:val="24"/>
        </w:rPr>
        <w:t>为该生各门及格的学位课程的学分。</w:t>
      </w:r>
    </w:p>
    <w:p>
      <w:pPr>
        <w:widowControl w:val="0"/>
        <w:numPr>
          <w:ilvl w:val="0"/>
          <w:numId w:val="30"/>
        </w:numPr>
        <w:spacing w:line="400" w:lineRule="exact"/>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840"/>
        <w:rPr>
          <w:bCs/>
          <w:sz w:val="24"/>
        </w:rPr>
      </w:pP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答辩秘书汇总每位评委打分，去掉一个最高分和一个最低分，计算出评委平均分作为学生</w:t>
      </w:r>
      <w:r>
        <w:rPr>
          <w:rFonts w:ascii="宋体" w:hAnsi="宋体"/>
          <w:bCs/>
          <w:sz w:val="24"/>
        </w:rPr>
        <w:t>学业奖学金答辩</w:t>
      </w:r>
      <w:r>
        <w:rPr>
          <w:rFonts w:hint="eastAsia" w:ascii="宋体" w:hAnsi="宋体"/>
          <w:bCs/>
          <w:sz w:val="24"/>
        </w:rPr>
        <w:t>得分。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34"/>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34"/>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34"/>
        </w:numPr>
        <w:spacing w:line="400" w:lineRule="exact"/>
        <w:jc w:val="both"/>
        <w:rPr>
          <w:rFonts w:ascii="宋体" w:hAnsi="宋体"/>
          <w:bCs/>
          <w:sz w:val="24"/>
        </w:rPr>
      </w:pPr>
      <w:r>
        <w:rPr>
          <w:rFonts w:hint="eastAsia" w:ascii="宋体" w:hAnsi="宋体"/>
          <w:bCs/>
          <w:sz w:val="24"/>
        </w:rPr>
        <w:t>期刊论文被SCI、 SSCI或EI检索：需提供书面有效的检索证明。</w:t>
      </w:r>
    </w:p>
    <w:p>
      <w:pPr>
        <w:widowControl w:val="0"/>
        <w:numPr>
          <w:ilvl w:val="0"/>
          <w:numId w:val="34"/>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34"/>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34"/>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35"/>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35"/>
        </w:numPr>
        <w:spacing w:line="400" w:lineRule="exact"/>
        <w:jc w:val="both"/>
        <w:rPr>
          <w:rFonts w:ascii="宋体" w:hAnsi="宋体"/>
          <w:bCs/>
          <w:sz w:val="24"/>
        </w:rPr>
      </w:pP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w:t>
      </w:r>
      <w:r>
        <w:rPr>
          <w:rFonts w:hint="eastAsia" w:ascii="宋体" w:hAnsi="宋体"/>
          <w:bCs/>
          <w:sz w:val="24"/>
          <w:lang w:val="en-US" w:eastAsia="zh-CN"/>
        </w:rPr>
        <w:t>1</w:t>
      </w:r>
      <w:r>
        <w:rPr>
          <w:rFonts w:hint="eastAsia" w:ascii="宋体" w:hAnsi="宋体"/>
          <w:bCs/>
          <w:sz w:val="24"/>
        </w:rPr>
        <w:t>年9月1日开始试行。</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本细则由经济与管理学院经济学与金融学系、研究生科负责解释。</w:t>
      </w:r>
    </w:p>
    <w:p>
      <w:pPr>
        <w:spacing w:line="400" w:lineRule="exact"/>
        <w:rPr>
          <w:rFonts w:ascii="宋体" w:hAnsi="宋体"/>
          <w:bCs/>
          <w:sz w:val="24"/>
        </w:rPr>
      </w:pPr>
    </w:p>
    <w:p>
      <w:pPr>
        <w:spacing w:line="400" w:lineRule="exact"/>
        <w:rPr>
          <w:rFonts w:ascii="宋体" w:hAnsi="宋体"/>
          <w:bCs/>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right="241" w:firstLine="4457" w:firstLineChars="1850"/>
        <w:jc w:val="right"/>
        <w:rPr>
          <w:rFonts w:hint="eastAsia" w:ascii="宋体" w:hAnsi="宋体" w:eastAsia="宋体"/>
          <w:b/>
          <w:sz w:val="24"/>
          <w:szCs w:val="22"/>
        </w:rPr>
      </w:pP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hint="eastAsia" w:ascii="宋体" w:hAnsi="宋体" w:eastAsia="宋体"/>
          <w:b/>
          <w:sz w:val="24"/>
        </w:rPr>
        <w:t>月</w:t>
      </w:r>
      <w:r>
        <w:rPr>
          <w:rFonts w:hint="eastAsia" w:ascii="宋体" w:hAnsi="宋体" w:eastAsia="宋体"/>
          <w:b/>
          <w:bCs w:val="0"/>
          <w:sz w:val="24"/>
          <w:szCs w:val="22"/>
        </w:rPr>
        <w:br w:type="page"/>
      </w:r>
    </w:p>
    <w:p>
      <w:pPr>
        <w:spacing w:line="360" w:lineRule="auto"/>
        <w:rPr>
          <w:rFonts w:ascii="宋体" w:hAnsi="宋体"/>
          <w:b/>
          <w:szCs w:val="21"/>
        </w:rPr>
      </w:pPr>
      <w:r>
        <w:rPr>
          <w:rFonts w:hint="eastAsia" w:ascii="宋体" w:hAnsi="宋体"/>
          <w:b/>
          <w:szCs w:val="21"/>
        </w:rPr>
        <w:t>附件6：</w:t>
      </w:r>
    </w:p>
    <w:p>
      <w:pPr>
        <w:spacing w:line="360" w:lineRule="auto"/>
        <w:jc w:val="center"/>
        <w:rPr>
          <w:rFonts w:eastAsia="黑体"/>
          <w:b/>
          <w:sz w:val="32"/>
          <w:szCs w:val="32"/>
        </w:rPr>
      </w:pPr>
      <w:r>
        <w:rPr>
          <w:rFonts w:hint="eastAsia" w:eastAsia="黑体"/>
          <w:b/>
          <w:sz w:val="32"/>
          <w:szCs w:val="32"/>
        </w:rPr>
        <w:t>电子科技大学经济与管理学院经济学与金融学系</w:t>
      </w:r>
    </w:p>
    <w:p>
      <w:pPr>
        <w:spacing w:line="360" w:lineRule="auto"/>
        <w:jc w:val="center"/>
        <w:rPr>
          <w:rFonts w:eastAsia="黑体"/>
          <w:b/>
          <w:sz w:val="32"/>
          <w:szCs w:val="32"/>
        </w:rPr>
      </w:pPr>
      <w:r>
        <w:rPr>
          <w:rFonts w:hint="eastAsia" w:eastAsia="黑体"/>
          <w:b/>
          <w:sz w:val="32"/>
          <w:szCs w:val="32"/>
        </w:rPr>
        <w:t>金融硕士专业学位研究生学业奖学金评定细则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widowControl w:val="0"/>
        <w:tabs>
          <w:tab w:val="left" w:pos="840"/>
        </w:tabs>
        <w:spacing w:line="400" w:lineRule="exact"/>
        <w:ind w:left="840"/>
        <w:jc w:val="both"/>
        <w:rPr>
          <w:rFonts w:ascii="宋体" w:hAnsi="宋体"/>
          <w:bCs/>
          <w:sz w:val="24"/>
        </w:rPr>
      </w:pPr>
      <w:r>
        <w:rPr>
          <w:rFonts w:hint="eastAsia" w:ascii="宋体" w:hAnsi="宋体"/>
          <w:bCs/>
          <w:sz w:val="24"/>
        </w:rPr>
        <w:t>金融硕士专业学位二年级全日制应用型硕士研究生。</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spacing w:line="400" w:lineRule="exact"/>
        <w:jc w:val="both"/>
        <w:rPr>
          <w:rFonts w:ascii="宋体" w:hAnsi="宋体"/>
          <w:bCs/>
          <w:sz w:val="24"/>
        </w:rPr>
      </w:pPr>
      <w:r>
        <w:rPr>
          <w:rFonts w:hint="eastAsia" w:ascii="宋体" w:hAnsi="宋体"/>
          <w:bCs/>
          <w:sz w:val="24"/>
        </w:rPr>
        <w:t xml:space="preserve">      1.遵守国家有关法律和学校的规章制度。</w:t>
      </w:r>
    </w:p>
    <w:p>
      <w:pPr>
        <w:widowControl w:val="0"/>
        <w:spacing w:line="400" w:lineRule="exact"/>
        <w:jc w:val="both"/>
        <w:rPr>
          <w:rFonts w:ascii="宋体" w:hAnsi="宋体"/>
          <w:bCs/>
          <w:sz w:val="24"/>
        </w:rPr>
      </w:pPr>
      <w:r>
        <w:rPr>
          <w:rFonts w:hint="eastAsia" w:ascii="宋体" w:hAnsi="宋体"/>
          <w:bCs/>
          <w:sz w:val="24"/>
        </w:rPr>
        <w:t xml:space="preserve">      2.符合《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spacing w:line="400" w:lineRule="exact"/>
        <w:jc w:val="both"/>
        <w:rPr>
          <w:rFonts w:ascii="宋体" w:hAnsi="宋体"/>
          <w:bCs/>
          <w:sz w:val="24"/>
        </w:rPr>
      </w:pPr>
      <w:r>
        <w:rPr>
          <w:rFonts w:hint="eastAsia" w:ascii="宋体" w:hAnsi="宋体"/>
          <w:bCs/>
          <w:sz w:val="24"/>
        </w:rPr>
        <w:t xml:space="preserve">      3.申请时已达到硕士培养方案所要求的最低学位课程学分，公共基础课必修。</w:t>
      </w:r>
    </w:p>
    <w:p>
      <w:pPr>
        <w:widowControl w:val="0"/>
        <w:spacing w:line="400" w:lineRule="exact"/>
        <w:jc w:val="both"/>
        <w:rPr>
          <w:rFonts w:ascii="宋体" w:hAnsi="宋体"/>
          <w:bCs/>
          <w:sz w:val="24"/>
        </w:rPr>
      </w:pPr>
      <w:r>
        <w:rPr>
          <w:rFonts w:hint="eastAsia" w:ascii="宋体" w:hAnsi="宋体"/>
          <w:bCs/>
          <w:sz w:val="24"/>
        </w:rPr>
        <w:t xml:space="preserve">      4.有以下情况之一者不能参加当年奖学金的评定：</w:t>
      </w:r>
    </w:p>
    <w:p>
      <w:pPr>
        <w:widowControl w:val="0"/>
        <w:spacing w:line="400" w:lineRule="exact"/>
        <w:ind w:left="780"/>
        <w:jc w:val="both"/>
        <w:rPr>
          <w:rFonts w:ascii="宋体" w:hAnsi="宋体"/>
          <w:bCs/>
          <w:sz w:val="24"/>
        </w:rPr>
      </w:pPr>
      <w:r>
        <w:rPr>
          <w:rFonts w:hint="eastAsia" w:ascii="宋体" w:hAnsi="宋体"/>
          <w:bCs/>
          <w:sz w:val="24"/>
        </w:rPr>
        <w:t>1)评奖年度受到纪律处分者；</w:t>
      </w:r>
    </w:p>
    <w:p>
      <w:pPr>
        <w:widowControl w:val="0"/>
        <w:spacing w:line="400" w:lineRule="exact"/>
        <w:ind w:left="780"/>
        <w:jc w:val="both"/>
        <w:rPr>
          <w:rFonts w:ascii="宋体" w:hAnsi="宋体"/>
          <w:bCs/>
          <w:sz w:val="24"/>
        </w:rPr>
      </w:pPr>
      <w:r>
        <w:rPr>
          <w:rFonts w:hint="eastAsia" w:ascii="宋体" w:hAnsi="宋体"/>
          <w:bCs/>
          <w:sz w:val="24"/>
        </w:rPr>
        <w:t>2)导师认为不宜参评者；</w:t>
      </w:r>
    </w:p>
    <w:p>
      <w:pPr>
        <w:widowControl w:val="0"/>
        <w:spacing w:line="400" w:lineRule="exact"/>
        <w:ind w:left="780"/>
        <w:jc w:val="both"/>
        <w:rPr>
          <w:rFonts w:ascii="宋体" w:hAnsi="宋体"/>
          <w:bCs/>
          <w:sz w:val="24"/>
        </w:rPr>
      </w:pPr>
      <w:r>
        <w:rPr>
          <w:rFonts w:hint="eastAsia" w:ascii="宋体" w:hAnsi="宋体"/>
          <w:bCs/>
          <w:sz w:val="24"/>
        </w:rPr>
        <w:t>3)本人当年未提出申请者；</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tabs>
          <w:tab w:val="left" w:pos="840"/>
        </w:tabs>
        <w:spacing w:line="400" w:lineRule="exact"/>
        <w:ind w:left="420"/>
        <w:jc w:val="both"/>
        <w:rPr>
          <w:bCs/>
          <w:sz w:val="24"/>
        </w:rPr>
      </w:pPr>
      <w:r>
        <w:rPr>
          <w:rFonts w:hint="eastAsia" w:hAnsi="宋体"/>
          <w:bCs/>
          <w:sz w:val="24"/>
        </w:rPr>
        <w:t xml:space="preserve"> 1.  </w:t>
      </w:r>
      <w:r>
        <w:rPr>
          <w:rFonts w:hAnsi="宋体"/>
          <w:bCs/>
          <w:sz w:val="24"/>
        </w:rPr>
        <w:t>硕士二年级学生评奖最终成绩</w:t>
      </w:r>
      <w:r>
        <w:rPr>
          <w:bCs/>
          <w:sz w:val="24"/>
        </w:rPr>
        <w:t xml:space="preserve"> =</w:t>
      </w:r>
      <w:r>
        <w:rPr>
          <w:rFonts w:hint="eastAsia" w:hAnsi="宋体"/>
          <w:bCs/>
          <w:sz w:val="24"/>
        </w:rPr>
        <w:t>课程学习</w:t>
      </w:r>
      <w:r>
        <w:rPr>
          <w:rFonts w:hAnsi="宋体"/>
          <w:bCs/>
          <w:sz w:val="24"/>
        </w:rPr>
        <w:t>得分</w:t>
      </w:r>
      <w:r>
        <w:rPr>
          <w:bCs/>
          <w:sz w:val="24"/>
        </w:rPr>
        <w:t>+</w:t>
      </w:r>
      <w:r>
        <w:rPr>
          <w:rFonts w:hAnsi="宋体"/>
          <w:bCs/>
          <w:sz w:val="24"/>
        </w:rPr>
        <w:t>其它得分</w:t>
      </w:r>
    </w:p>
    <w:p>
      <w:pPr>
        <w:numPr>
          <w:ilvl w:val="0"/>
          <w:numId w:val="0"/>
        </w:numPr>
        <w:ind w:leftChars="0" w:firstLine="960" w:firstLineChars="400"/>
        <w:rPr>
          <w:rFonts w:hint="eastAsia" w:ascii="仿宋_GB2312"/>
          <w:b w:val="0"/>
          <w:bCs w:val="0"/>
          <w:sz w:val="24"/>
          <w:szCs w:val="28"/>
        </w:rPr>
      </w:pPr>
      <w:r>
        <w:rPr>
          <w:rFonts w:hint="eastAsia" w:ascii="仿宋_GB2312"/>
          <w:b w:val="0"/>
          <w:bCs w:val="0"/>
          <w:sz w:val="24"/>
          <w:szCs w:val="28"/>
        </w:rPr>
        <w:t>课程学习得分：占70%，即相对学分积的得分。</w:t>
      </w:r>
    </w:p>
    <w:p>
      <w:pPr>
        <w:spacing w:line="400" w:lineRule="exact"/>
        <w:ind w:left="657" w:leftChars="313" w:firstLine="360" w:firstLineChars="150"/>
        <w:rPr>
          <w:bCs/>
          <w:sz w:val="24"/>
        </w:rPr>
      </w:pPr>
      <w:r>
        <w:rPr>
          <w:rFonts w:hint="eastAsia" w:ascii="仿宋_GB2312"/>
          <w:b w:val="0"/>
          <w:bCs w:val="0"/>
          <w:sz w:val="24"/>
          <w:szCs w:val="28"/>
        </w:rPr>
        <w:t>其它得分：占30%，其中学业奖学金答辩得分占20%，导师评分占10%。</w:t>
      </w:r>
    </w:p>
    <w:p>
      <w:pPr>
        <w:widowControl w:val="0"/>
        <w:tabs>
          <w:tab w:val="left" w:pos="840"/>
        </w:tabs>
        <w:spacing w:line="360" w:lineRule="auto"/>
        <w:ind w:left="420"/>
        <w:jc w:val="both"/>
        <w:rPr>
          <w:rFonts w:hAnsi="宋体"/>
          <w:bCs/>
          <w:sz w:val="24"/>
        </w:rPr>
      </w:pPr>
      <w:r>
        <w:rPr>
          <w:rFonts w:hint="eastAsia" w:hAnsi="宋体"/>
          <w:bCs/>
          <w:sz w:val="24"/>
        </w:rPr>
        <w:t xml:space="preserve">2.  </w:t>
      </w:r>
      <w:r>
        <w:rPr>
          <w:rFonts w:hAnsi="宋体"/>
          <w:bCs/>
          <w:sz w:val="24"/>
        </w:rPr>
        <w:t>硕士学位课程的相对学分积</w:t>
      </w:r>
      <w:r>
        <w:rPr>
          <w:rFonts w:hint="eastAsia" w:hAnsi="宋体"/>
          <w:bCs/>
          <w:sz w:val="24"/>
        </w:rPr>
        <w:t>得分</w:t>
      </w:r>
      <w:r>
        <w:rPr>
          <w:rFonts w:hAnsi="宋体"/>
          <w:bCs/>
          <w:sz w:val="24"/>
        </w:rPr>
        <w:t>算法如下：</w:t>
      </w:r>
    </w:p>
    <w:p>
      <w:pPr>
        <w:widowControl w:val="0"/>
        <w:ind w:left="782"/>
        <w:jc w:val="both"/>
        <w:rPr>
          <w:bCs/>
          <w:sz w:val="24"/>
        </w:rPr>
      </w:pPr>
      <w:r>
        <w:rPr>
          <w:rFonts w:hint="eastAsia" w:hAnsi="宋体"/>
          <w:bCs/>
          <w:sz w:val="24"/>
        </w:rPr>
        <w:t>1）</w:t>
      </w:r>
      <w:r>
        <w:rPr>
          <w:rFonts w:hAnsi="宋体"/>
          <w:bCs/>
          <w:sz w:val="24"/>
        </w:rPr>
        <w:t>某门课程的相对分</w:t>
      </w:r>
      <w:r>
        <w:rPr>
          <w:bCs/>
          <w:position w:val="-12"/>
          <w:sz w:val="24"/>
        </w:rPr>
        <w:object>
          <v:shape id="_x0000_i1052"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52" DrawAspect="Content" ObjectID="_1468075752" r:id="rId40">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53"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53" DrawAspect="Content" ObjectID="_1468075753" r:id="rId41">
            <o:LockedField>false</o:LockedField>
          </o:OLEObject>
        </w:object>
      </w:r>
      <w:r>
        <w:rPr>
          <w:rFonts w:eastAsia="仿宋"/>
          <w:position w:val="-12"/>
          <w:szCs w:val="21"/>
        </w:rPr>
        <w:object>
          <v:shape id="_x0000_i1054"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54" DrawAspect="Content" ObjectID="_1468075754" r:id="rId42">
            <o:LockedField>false</o:LockedField>
          </o:OLEObject>
        </w:object>
      </w:r>
      <w:r>
        <w:rPr>
          <w:rFonts w:hAnsi="仿宋" w:eastAsia="仿宋"/>
          <w:szCs w:val="21"/>
        </w:rPr>
        <w:t>－</w:t>
      </w:r>
      <w:r>
        <w:rPr>
          <w:rFonts w:eastAsia="仿宋"/>
          <w:position w:val="-4"/>
          <w:szCs w:val="21"/>
        </w:rPr>
        <w:object>
          <v:shape id="_x0000_i1055"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55" DrawAspect="Content" ObjectID="_1468075755" r:id="rId43">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56"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56" DrawAspect="Content" ObjectID="_1468075756" r:id="rId44">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ab/>
      </w:r>
      <w:r>
        <w:rPr>
          <w:bCs/>
          <w:sz w:val="24"/>
        </w:rPr>
        <w:tab/>
      </w:r>
      <w:r>
        <w:rPr>
          <w:bCs/>
          <w:position w:val="-4"/>
          <w:sz w:val="24"/>
        </w:rPr>
        <w:object>
          <v:shape id="_x0000_i1057"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57" DrawAspect="Content" ObjectID="_1468075757" r:id="rId45">
            <o:LockedField>false</o:LockedField>
          </o:OLEObject>
        </w:object>
      </w:r>
      <w:r>
        <w:rPr>
          <w:rFonts w:hAnsi="宋体"/>
          <w:bCs/>
          <w:sz w:val="24"/>
        </w:rPr>
        <w:t>为该门课程的本院全年级平均分。</w:t>
      </w:r>
    </w:p>
    <w:p>
      <w:pPr>
        <w:widowControl w:val="0"/>
        <w:ind w:left="782"/>
        <w:jc w:val="both"/>
        <w:rPr>
          <w:bCs/>
          <w:sz w:val="24"/>
        </w:rPr>
      </w:pPr>
      <w:r>
        <w:rPr>
          <w:rFonts w:hint="eastAsia" w:hAnsi="宋体"/>
          <w:bCs/>
          <w:sz w:val="24"/>
        </w:rPr>
        <w:t>2）</w:t>
      </w: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58"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58" DrawAspect="Content" ObjectID="_1468075758" r:id="rId46">
            <o:LockedField>false</o:LockedField>
          </o:OLEObject>
        </w:object>
      </w:r>
      <w:r>
        <w:rPr>
          <w:rFonts w:eastAsia="仿宋"/>
          <w:position w:val="-28"/>
          <w:szCs w:val="21"/>
        </w:rPr>
        <w:object>
          <v:shape id="_x0000_i1059"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59" DrawAspect="Content" ObjectID="_1468075759" r:id="rId47">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position w:val="-12"/>
          <w:sz w:val="24"/>
        </w:rPr>
        <w:object>
          <v:shape id="_x0000_i1060"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60" DrawAspect="Content" ObjectID="_1468075760" r:id="rId48">
            <o:LockedField>false</o:LockedField>
          </o:OLEObject>
        </w:object>
      </w:r>
      <w:r>
        <w:rPr>
          <w:rFonts w:hAnsi="宋体"/>
          <w:bCs/>
          <w:sz w:val="24"/>
        </w:rPr>
        <w:t>为该生各门及格的学位课程的学分。</w:t>
      </w:r>
    </w:p>
    <w:p>
      <w:pPr>
        <w:widowControl w:val="0"/>
        <w:spacing w:line="400" w:lineRule="exact"/>
        <w:ind w:left="782"/>
        <w:jc w:val="both"/>
        <w:rPr>
          <w:bCs/>
          <w:sz w:val="24"/>
        </w:rPr>
      </w:pPr>
      <w:r>
        <w:rPr>
          <w:rFonts w:hint="eastAsia" w:hAnsi="宋体"/>
          <w:bCs/>
          <w:sz w:val="24"/>
        </w:rPr>
        <w:t>3）</w:t>
      </w: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tabs>
          <w:tab w:val="left" w:pos="840"/>
        </w:tabs>
        <w:spacing w:line="400" w:lineRule="exact"/>
        <w:ind w:left="420"/>
        <w:jc w:val="both"/>
        <w:rPr>
          <w:rFonts w:ascii="宋体" w:hAnsi="宋体"/>
          <w:bCs/>
          <w:sz w:val="24"/>
        </w:rPr>
      </w:pPr>
      <w:r>
        <w:rPr>
          <w:rFonts w:hint="eastAsia" w:ascii="宋体" w:hAnsi="宋体"/>
          <w:bCs/>
          <w:sz w:val="24"/>
        </w:rPr>
        <w:t>1. 学院发布评奖通知后成立奖学金评定工作组。</w:t>
      </w:r>
    </w:p>
    <w:p>
      <w:pPr>
        <w:widowControl w:val="0"/>
        <w:tabs>
          <w:tab w:val="left" w:pos="840"/>
        </w:tabs>
        <w:spacing w:line="400" w:lineRule="exact"/>
        <w:ind w:left="420"/>
        <w:jc w:val="both"/>
        <w:rPr>
          <w:rFonts w:ascii="宋体" w:hAnsi="宋体"/>
          <w:bCs/>
          <w:sz w:val="24"/>
        </w:rPr>
      </w:pPr>
      <w:r>
        <w:rPr>
          <w:rFonts w:hint="eastAsia" w:ascii="宋体" w:hAnsi="宋体"/>
          <w:bCs/>
          <w:sz w:val="24"/>
        </w:rPr>
        <w:t>2. 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tabs>
          <w:tab w:val="left" w:pos="840"/>
        </w:tabs>
        <w:spacing w:line="400" w:lineRule="exact"/>
        <w:ind w:left="420"/>
        <w:jc w:val="both"/>
        <w:rPr>
          <w:rFonts w:ascii="宋体" w:hAnsi="宋体"/>
          <w:bCs/>
          <w:sz w:val="24"/>
        </w:rPr>
      </w:pPr>
      <w:r>
        <w:rPr>
          <w:rFonts w:hint="eastAsia" w:ascii="宋体" w:hAnsi="宋体"/>
          <w:bCs/>
          <w:sz w:val="24"/>
        </w:rPr>
        <w:t>3. 研究生科计算并公示研二学生的学位课程相对学分积得分。</w:t>
      </w:r>
    </w:p>
    <w:p>
      <w:pPr>
        <w:widowControl w:val="0"/>
        <w:tabs>
          <w:tab w:val="left" w:pos="840"/>
        </w:tabs>
        <w:spacing w:line="400" w:lineRule="exact"/>
        <w:ind w:left="420"/>
        <w:jc w:val="both"/>
        <w:rPr>
          <w:rFonts w:ascii="宋体" w:hAnsi="宋体"/>
          <w:bCs/>
          <w:sz w:val="24"/>
        </w:rPr>
      </w:pPr>
      <w:r>
        <w:rPr>
          <w:rFonts w:hint="eastAsia" w:ascii="宋体" w:hAnsi="宋体"/>
          <w:bCs/>
          <w:sz w:val="24"/>
        </w:rPr>
        <w:t>4. 评定单位依据学校、学院相关文件要求对申请人进行资格审查。</w:t>
      </w:r>
    </w:p>
    <w:p>
      <w:pPr>
        <w:widowControl w:val="0"/>
        <w:tabs>
          <w:tab w:val="left" w:pos="840"/>
        </w:tabs>
        <w:spacing w:line="400" w:lineRule="exact"/>
        <w:ind w:left="420"/>
        <w:jc w:val="both"/>
        <w:rPr>
          <w:rFonts w:ascii="宋体" w:hAnsi="宋体"/>
          <w:bCs/>
          <w:sz w:val="24"/>
        </w:rPr>
      </w:pPr>
      <w:r>
        <w:rPr>
          <w:rFonts w:hint="eastAsia" w:ascii="宋体" w:hAnsi="宋体"/>
          <w:bCs/>
          <w:sz w:val="24"/>
        </w:rPr>
        <w:t>5. 评定单位进行数据整理，汇总论文发表、获奖和公共服务等方面的证明材料，导师根据研究生学业奖学金评分依据进行评分，评定单位进行收集汇总。</w:t>
      </w:r>
    </w:p>
    <w:p>
      <w:pPr>
        <w:widowControl w:val="0"/>
        <w:tabs>
          <w:tab w:val="left" w:pos="840"/>
        </w:tabs>
        <w:spacing w:line="400" w:lineRule="exact"/>
        <w:ind w:left="420"/>
        <w:jc w:val="both"/>
        <w:rPr>
          <w:rFonts w:ascii="宋体" w:hAnsi="宋体"/>
          <w:bCs/>
          <w:sz w:val="24"/>
        </w:rPr>
      </w:pPr>
      <w:r>
        <w:rPr>
          <w:rFonts w:hint="eastAsia" w:ascii="宋体" w:hAnsi="宋体"/>
          <w:bCs/>
          <w:sz w:val="24"/>
        </w:rPr>
        <w:t>6. 评定单位对学业奖学金评定结果进行公示。</w:t>
      </w:r>
    </w:p>
    <w:p>
      <w:pPr>
        <w:widowControl w:val="0"/>
        <w:tabs>
          <w:tab w:val="left" w:pos="840"/>
        </w:tabs>
        <w:spacing w:line="400" w:lineRule="exact"/>
        <w:ind w:left="420"/>
        <w:jc w:val="both"/>
        <w:rPr>
          <w:rFonts w:ascii="宋体" w:hAnsi="宋体"/>
          <w:bCs/>
          <w:sz w:val="24"/>
        </w:rPr>
      </w:pPr>
      <w:r>
        <w:rPr>
          <w:rFonts w:hint="eastAsia" w:ascii="宋体" w:hAnsi="宋体"/>
          <w:bCs/>
          <w:sz w:val="24"/>
        </w:rPr>
        <w:t>7. 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tabs>
          <w:tab w:val="left" w:pos="840"/>
        </w:tabs>
        <w:spacing w:line="400" w:lineRule="exact"/>
        <w:ind w:left="420"/>
        <w:jc w:val="both"/>
        <w:rPr>
          <w:rFonts w:ascii="宋体" w:hAnsi="宋体"/>
          <w:bCs/>
          <w:sz w:val="24"/>
        </w:rPr>
      </w:pPr>
      <w:r>
        <w:rPr>
          <w:rFonts w:hint="eastAsia" w:ascii="宋体" w:hAnsi="宋体"/>
          <w:bCs/>
          <w:sz w:val="24"/>
        </w:rPr>
        <w:t>8. 评定单位汇总材料和评定结果，报学院研究生科备案。</w:t>
      </w:r>
    </w:p>
    <w:p>
      <w:pPr>
        <w:widowControl w:val="0"/>
        <w:tabs>
          <w:tab w:val="left" w:pos="840"/>
        </w:tabs>
        <w:spacing w:line="400" w:lineRule="exact"/>
        <w:ind w:left="420"/>
        <w:jc w:val="both"/>
        <w:rPr>
          <w:rFonts w:ascii="宋体" w:hAnsi="宋体"/>
          <w:bCs/>
          <w:sz w:val="24"/>
        </w:rPr>
      </w:pPr>
      <w:r>
        <w:rPr>
          <w:rFonts w:hint="eastAsia" w:ascii="宋体" w:hAnsi="宋体"/>
          <w:bCs/>
          <w:sz w:val="24"/>
        </w:rPr>
        <w:t>9. 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六、申请者要提交的书面证明材料</w:t>
      </w:r>
    </w:p>
    <w:p>
      <w:pPr>
        <w:widowControl w:val="0"/>
        <w:tabs>
          <w:tab w:val="left" w:pos="840"/>
        </w:tabs>
        <w:spacing w:line="400" w:lineRule="exact"/>
        <w:ind w:left="420"/>
        <w:jc w:val="both"/>
        <w:rPr>
          <w:rFonts w:ascii="宋体" w:hAnsi="宋体"/>
          <w:bCs/>
          <w:sz w:val="24"/>
        </w:rPr>
      </w:pPr>
      <w:r>
        <w:rPr>
          <w:rFonts w:hint="eastAsia" w:ascii="宋体" w:hAnsi="宋体"/>
          <w:bCs/>
          <w:sz w:val="24"/>
        </w:rPr>
        <w:t>1.学院每年9月组织一次学生公共服务和获奖等情况的登记，二年级的硕士研究生直接到评定单位进行登记；登记时提供评奖年度的的证明材料。</w:t>
      </w:r>
    </w:p>
    <w:p>
      <w:pPr>
        <w:widowControl w:val="0"/>
        <w:tabs>
          <w:tab w:val="left" w:pos="840"/>
        </w:tabs>
        <w:spacing w:line="400" w:lineRule="exact"/>
        <w:ind w:left="420"/>
        <w:jc w:val="both"/>
        <w:rPr>
          <w:rFonts w:ascii="宋体" w:hAnsi="宋体"/>
          <w:bCs/>
          <w:sz w:val="24"/>
        </w:rPr>
      </w:pPr>
      <w:r>
        <w:rPr>
          <w:rFonts w:hint="eastAsia" w:ascii="宋体" w:hAnsi="宋体"/>
          <w:bCs/>
          <w:sz w:val="24"/>
        </w:rPr>
        <w:t>2.获奖证明材料：</w:t>
      </w:r>
    </w:p>
    <w:p>
      <w:pPr>
        <w:widowControl w:val="0"/>
        <w:spacing w:line="400" w:lineRule="exact"/>
        <w:ind w:left="782"/>
        <w:jc w:val="both"/>
        <w:rPr>
          <w:rFonts w:ascii="宋体" w:hAnsi="宋体"/>
          <w:bCs/>
          <w:sz w:val="24"/>
        </w:rPr>
      </w:pPr>
      <w:r>
        <w:rPr>
          <w:rFonts w:hint="eastAsia" w:ascii="宋体" w:hAnsi="宋体"/>
          <w:bCs/>
          <w:sz w:val="24"/>
        </w:rPr>
        <w:t>1）申请者需提供获奖证书原件、复印件，原件供审核。</w:t>
      </w:r>
    </w:p>
    <w:p>
      <w:pPr>
        <w:widowControl w:val="0"/>
        <w:spacing w:line="400" w:lineRule="exact"/>
        <w:ind w:left="782"/>
        <w:jc w:val="both"/>
        <w:rPr>
          <w:rFonts w:ascii="宋体" w:hAnsi="宋体"/>
          <w:bCs/>
          <w:sz w:val="24"/>
        </w:rPr>
      </w:pPr>
      <w:r>
        <w:rPr>
          <w:rFonts w:hint="eastAsia" w:ascii="宋体" w:hAnsi="宋体"/>
          <w:bCs/>
          <w:sz w:val="24"/>
        </w:rPr>
        <w:t>2）</w:t>
      </w: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tabs>
          <w:tab w:val="left" w:pos="840"/>
        </w:tabs>
        <w:spacing w:line="400" w:lineRule="exact"/>
        <w:ind w:left="420"/>
        <w:jc w:val="both"/>
        <w:rPr>
          <w:rFonts w:ascii="宋体" w:hAnsi="宋体"/>
          <w:bCs/>
          <w:sz w:val="24"/>
        </w:rPr>
      </w:pPr>
      <w:r>
        <w:rPr>
          <w:rFonts w:hint="eastAsia" w:ascii="宋体" w:hAnsi="宋体"/>
          <w:bCs/>
          <w:sz w:val="24"/>
        </w:rPr>
        <w:t>3.</w:t>
      </w: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tabs>
          <w:tab w:val="left" w:pos="840"/>
        </w:tabs>
        <w:spacing w:line="400" w:lineRule="exact"/>
        <w:ind w:left="420"/>
        <w:jc w:val="both"/>
        <w:rPr>
          <w:rFonts w:ascii="宋体" w:hAnsi="宋体"/>
          <w:bCs/>
          <w:sz w:val="24"/>
        </w:rPr>
      </w:pPr>
      <w:r>
        <w:rPr>
          <w:rFonts w:hint="eastAsia" w:ascii="宋体" w:hAnsi="宋体"/>
          <w:bCs/>
          <w:sz w:val="24"/>
        </w:rPr>
        <w:t>1.本细则未涉及的内容参考学校和学院相关管理办法执行。</w:t>
      </w:r>
    </w:p>
    <w:p>
      <w:pPr>
        <w:widowControl w:val="0"/>
        <w:tabs>
          <w:tab w:val="left" w:pos="840"/>
        </w:tabs>
        <w:spacing w:line="400" w:lineRule="exact"/>
        <w:ind w:left="420"/>
        <w:jc w:val="both"/>
        <w:rPr>
          <w:rFonts w:ascii="宋体" w:hAnsi="宋体"/>
          <w:bCs/>
          <w:sz w:val="24"/>
        </w:rPr>
      </w:pPr>
      <w:r>
        <w:rPr>
          <w:rFonts w:hint="eastAsia" w:ascii="宋体" w:hAnsi="宋体"/>
          <w:bCs/>
          <w:sz w:val="24"/>
        </w:rPr>
        <w:t>2.本细则适用于电子科技大学经济与管理学院研究生，从202</w:t>
      </w:r>
      <w:r>
        <w:rPr>
          <w:rFonts w:hint="eastAsia" w:ascii="宋体" w:hAnsi="宋体"/>
          <w:bCs/>
          <w:sz w:val="24"/>
          <w:lang w:val="en-US" w:eastAsia="zh-CN"/>
        </w:rPr>
        <w:t>1</w:t>
      </w:r>
      <w:r>
        <w:rPr>
          <w:rFonts w:hint="eastAsia" w:ascii="宋体" w:hAnsi="宋体"/>
          <w:bCs/>
          <w:sz w:val="24"/>
        </w:rPr>
        <w:t>年9月1日开始试行。</w:t>
      </w:r>
    </w:p>
    <w:p>
      <w:pPr>
        <w:widowControl w:val="0"/>
        <w:tabs>
          <w:tab w:val="left" w:pos="840"/>
        </w:tabs>
        <w:spacing w:line="400" w:lineRule="exact"/>
        <w:ind w:left="420"/>
        <w:jc w:val="both"/>
        <w:rPr>
          <w:rFonts w:ascii="宋体" w:hAnsi="宋体"/>
          <w:bCs/>
          <w:sz w:val="24"/>
        </w:rPr>
      </w:pPr>
      <w:r>
        <w:rPr>
          <w:rFonts w:hint="eastAsia" w:ascii="宋体" w:hAnsi="宋体"/>
          <w:bCs/>
          <w:sz w:val="24"/>
        </w:rPr>
        <w:t>3.本细则由经济与管理学院经济学与金融学系、研究生科负责解释。</w:t>
      </w:r>
    </w:p>
    <w:p>
      <w:pPr>
        <w:spacing w:line="400" w:lineRule="exact"/>
        <w:rPr>
          <w:rFonts w:ascii="宋体" w:hAnsi="宋体"/>
          <w:bCs/>
          <w:sz w:val="24"/>
        </w:rPr>
      </w:pPr>
    </w:p>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eastAsia="宋体"/>
          <w:b/>
          <w:bCs w:val="0"/>
          <w:sz w:val="24"/>
        </w:rPr>
      </w:pPr>
      <w:r>
        <w:rPr>
          <w:rFonts w:ascii="宋体" w:hAnsi="宋体" w:eastAsia="宋体"/>
          <w:b/>
          <w:sz w:val="24"/>
        </w:rPr>
        <w:t>20</w:t>
      </w:r>
      <w:r>
        <w:rPr>
          <w:rFonts w:hint="default" w:ascii="宋体" w:hAnsi="宋体" w:eastAsia="宋体"/>
          <w:b/>
          <w:sz w:val="24"/>
          <w:lang w:val="en-US" w:eastAsia="zh-CN"/>
        </w:rPr>
        <w:t>21</w:t>
      </w:r>
      <w:r>
        <w:rPr>
          <w:rFonts w:ascii="宋体" w:hAnsi="宋体" w:eastAsia="宋体"/>
          <w:b/>
          <w:sz w:val="24"/>
        </w:rPr>
        <w:t>年</w:t>
      </w:r>
      <w:r>
        <w:rPr>
          <w:rFonts w:hint="default" w:ascii="宋体" w:hAnsi="宋体" w:eastAsia="宋体"/>
          <w:b/>
          <w:sz w:val="24"/>
          <w:lang w:val="en-US" w:eastAsia="zh-CN"/>
        </w:rPr>
        <w:t>01</w:t>
      </w:r>
      <w:r>
        <w:rPr>
          <w:rFonts w:ascii="宋体" w:hAnsi="宋体" w:eastAsia="宋体"/>
          <w:b/>
          <w:sz w:val="24"/>
        </w:rPr>
        <w:t>月</w:t>
      </w: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rPr>
          <w:rFonts w:ascii="宋体" w:hAnsi="宋体" w:eastAsia="宋体" w:cs="宋体"/>
          <w:sz w:val="24"/>
          <w:szCs w:val="24"/>
        </w:rPr>
      </w:pPr>
    </w:p>
    <w:p>
      <w:pPr>
        <w:rPr>
          <w:rFonts w:ascii="宋体" w:hAnsi="宋体" w:eastAsia="宋体" w:cs="宋体"/>
          <w:sz w:val="24"/>
          <w:szCs w:val="24"/>
        </w:rPr>
      </w:pPr>
    </w:p>
    <w:p>
      <w:pPr>
        <w:spacing w:line="360" w:lineRule="auto"/>
        <w:rPr>
          <w:rFonts w:ascii="宋体" w:hAnsi="宋体"/>
          <w:b/>
          <w:szCs w:val="21"/>
        </w:rPr>
      </w:pPr>
      <w:r>
        <w:rPr>
          <w:rFonts w:hint="eastAsia" w:ascii="宋体" w:hAnsi="宋体"/>
          <w:b/>
          <w:szCs w:val="21"/>
        </w:rPr>
        <w:t>附件7：</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研究生学业奖学金答辩评分依据</w:t>
      </w:r>
    </w:p>
    <w:p/>
    <w:tbl>
      <w:tblPr>
        <w:tblStyle w:val="3"/>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类别</w:t>
            </w:r>
          </w:p>
        </w:tc>
        <w:tc>
          <w:tcPr>
            <w:tcW w:w="3981"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评分占比（共计100%）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学术科研</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公共服务与社会实践</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竞赛及其它获奖</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15%</w:t>
            </w:r>
          </w:p>
        </w:tc>
      </w:tr>
    </w:tbl>
    <w:p>
      <w:pPr>
        <w:spacing w:line="360" w:lineRule="auto"/>
        <w:rPr>
          <w:b/>
          <w:bCs/>
        </w:rPr>
      </w:pPr>
      <w:r>
        <w:rPr>
          <w:rFonts w:hint="eastAsia"/>
          <w:b/>
          <w:bCs/>
        </w:rPr>
        <w:t>备注：</w:t>
      </w:r>
    </w:p>
    <w:p>
      <w:pPr>
        <w:spacing w:line="360" w:lineRule="auto"/>
        <w:rPr>
          <w:sz w:val="24"/>
        </w:rPr>
      </w:pPr>
      <w:r>
        <w:rPr>
          <w:rFonts w:hint="eastAsia"/>
          <w:sz w:val="24"/>
          <w:szCs w:val="24"/>
        </w:rPr>
        <w:t>【</w:t>
      </w:r>
      <w:r>
        <w:rPr>
          <w:rFonts w:hint="eastAsia" w:ascii="宋体" w:hAnsi="宋体" w:eastAsia="宋体" w:cs="宋体"/>
          <w:sz w:val="24"/>
          <w:szCs w:val="24"/>
        </w:rPr>
        <w:t>学术科研</w:t>
      </w:r>
      <w:r>
        <w:rPr>
          <w:rFonts w:hint="eastAsia"/>
          <w:sz w:val="24"/>
          <w:szCs w:val="24"/>
        </w:rPr>
        <w:t>】</w:t>
      </w:r>
    </w:p>
    <w:p>
      <w:pPr>
        <w:widowControl w:val="0"/>
        <w:tabs>
          <w:tab w:val="left" w:pos="312"/>
        </w:tabs>
        <w:spacing w:line="360" w:lineRule="auto"/>
        <w:jc w:val="both"/>
        <w:rPr>
          <w:rFonts w:ascii="宋体" w:hAnsi="宋体" w:eastAsia="宋体" w:cs="宋体"/>
          <w:sz w:val="24"/>
        </w:rPr>
      </w:pPr>
      <w:r>
        <w:rPr>
          <w:rFonts w:hint="eastAsia"/>
          <w:sz w:val="24"/>
          <w:szCs w:val="24"/>
        </w:rPr>
        <w:t>1.参考学生</w:t>
      </w:r>
      <w:r>
        <w:rPr>
          <w:rFonts w:hint="eastAsia" w:ascii="宋体" w:hAnsi="宋体" w:eastAsia="宋体" w:cs="宋体"/>
          <w:sz w:val="24"/>
          <w:szCs w:val="24"/>
        </w:rPr>
        <w:t>论文发表、参与基金、科研项目的情况进行评分，其中论文应发表在经济与管理学院科研奖励范围的期刊上。</w:t>
      </w:r>
    </w:p>
    <w:p>
      <w:pPr>
        <w:spacing w:line="360" w:lineRule="auto"/>
        <w:rPr>
          <w:sz w:val="24"/>
        </w:rPr>
      </w:pPr>
      <w:r>
        <w:rPr>
          <w:rFonts w:hint="eastAsia"/>
          <w:sz w:val="24"/>
          <w:szCs w:val="24"/>
        </w:rPr>
        <w:t>2.博士研究生以第一作者身份在经济与管理学院科研奖励范围的管理和经济A类期刊上发表论文优先评奖；硕士研究生以第一作者身份在经济与管理学院认定的管理和经济B类及以上期刊发表论文，以及以第一作者身份在《管理科学学报》、《经济研究》、《管理世界》、《中国社会科学》发表论文优先评奖。</w:t>
      </w:r>
    </w:p>
    <w:p>
      <w:pPr>
        <w:spacing w:line="360" w:lineRule="auto"/>
        <w:rPr>
          <w:rFonts w:ascii="宋体" w:hAnsi="宋体"/>
          <w:sz w:val="24"/>
        </w:rPr>
      </w:pPr>
      <w:r>
        <w:rPr>
          <w:rFonts w:hint="eastAsia" w:ascii="宋体" w:hAnsi="宋体"/>
          <w:sz w:val="24"/>
          <w:szCs w:val="24"/>
        </w:rPr>
        <w:t>【</w:t>
      </w:r>
      <w:r>
        <w:rPr>
          <w:rFonts w:hint="eastAsia" w:ascii="宋体" w:hAnsi="宋体" w:eastAsia="宋体" w:cs="宋体"/>
          <w:sz w:val="24"/>
          <w:szCs w:val="24"/>
        </w:rPr>
        <w:t>公共服务与社会实践</w:t>
      </w:r>
      <w:r>
        <w:rPr>
          <w:rFonts w:hint="eastAsia" w:ascii="宋体" w:hAnsi="宋体"/>
          <w:sz w:val="24"/>
          <w:szCs w:val="24"/>
        </w:rPr>
        <w:t>】</w:t>
      </w:r>
    </w:p>
    <w:p>
      <w:pPr>
        <w:adjustRightInd w:val="0"/>
        <w:snapToGrid w:val="0"/>
        <w:spacing w:line="360" w:lineRule="auto"/>
        <w:rPr>
          <w:rFonts w:ascii="宋体" w:hAnsi="宋体"/>
          <w:sz w:val="24"/>
        </w:rPr>
      </w:pPr>
      <w:r>
        <w:rPr>
          <w:rFonts w:ascii="宋体" w:hAnsi="宋体"/>
          <w:sz w:val="24"/>
          <w:szCs w:val="24"/>
        </w:rPr>
        <w:t>1.</w:t>
      </w:r>
      <w:r>
        <w:rPr>
          <w:rFonts w:hint="eastAsia" w:ascii="宋体" w:hAnsi="宋体"/>
          <w:sz w:val="24"/>
          <w:szCs w:val="24"/>
        </w:rPr>
        <w:t>鼓励学生积极参与公共服务，公共服务包括担任校、院研究生会及社团干部、班长、班委、党支部干部、助管、助教，以及参与慈善事业、社会实践，为学院、学校、社会和国家做出突出贡献。学生参与公共服务由相应管理部门对各干部考核，根据考核成绩进行评分。</w:t>
      </w:r>
    </w:p>
    <w:p>
      <w:pPr>
        <w:adjustRightInd w:val="0"/>
        <w:snapToGrid w:val="0"/>
        <w:spacing w:line="360" w:lineRule="auto"/>
        <w:rPr>
          <w:rFonts w:ascii="Times New Roman" w:hAnsi="Times New Roman"/>
          <w:sz w:val="24"/>
        </w:rPr>
      </w:pPr>
      <w:r>
        <w:rPr>
          <w:rFonts w:ascii="宋体" w:hAnsi="宋体"/>
          <w:sz w:val="24"/>
          <w:szCs w:val="24"/>
        </w:rPr>
        <w:t>2.</w:t>
      </w:r>
      <w:r>
        <w:rPr>
          <w:rFonts w:hint="eastAsia" w:ascii="Times New Roman" w:hAnsi="Times New Roman"/>
          <w:sz w:val="24"/>
          <w:szCs w:val="24"/>
        </w:rPr>
        <w:t>鼓励学生积极参加基层挂职，参与基层挂职达到两周以上并由相关单位考核认</w:t>
      </w:r>
      <w:r>
        <w:rPr>
          <w:rFonts w:hint="eastAsia" w:ascii="宋体" w:hAnsi="宋体" w:eastAsia="宋体" w:cs="宋体"/>
          <w:sz w:val="24"/>
          <w:szCs w:val="24"/>
        </w:rPr>
        <w:t>定后，此</w:t>
      </w:r>
      <w:r>
        <w:rPr>
          <w:rFonts w:hint="eastAsia" w:ascii="Times New Roman" w:hAnsi="Times New Roman"/>
          <w:sz w:val="24"/>
          <w:szCs w:val="24"/>
        </w:rPr>
        <w:t>项评分应为满分。</w:t>
      </w:r>
    </w:p>
    <w:p>
      <w:pPr>
        <w:adjustRightInd w:val="0"/>
        <w:snapToGrid w:val="0"/>
        <w:spacing w:line="360" w:lineRule="auto"/>
        <w:rPr>
          <w:rFonts w:ascii="宋体" w:hAnsi="宋体"/>
          <w:sz w:val="24"/>
        </w:rPr>
      </w:pPr>
      <w:r>
        <w:rPr>
          <w:rFonts w:hint="eastAsia" w:ascii="宋体" w:hAnsi="宋体"/>
          <w:sz w:val="24"/>
          <w:szCs w:val="24"/>
        </w:rPr>
        <w:t>【竞赛及其它获奖】</w:t>
      </w:r>
    </w:p>
    <w:p>
      <w:pPr>
        <w:spacing w:line="360" w:lineRule="auto"/>
        <w:rPr>
          <w:rFonts w:ascii="宋体" w:hAnsi="宋体"/>
          <w:sz w:val="24"/>
        </w:rPr>
      </w:pPr>
      <w:r>
        <w:rPr>
          <w:rFonts w:hint="eastAsia" w:ascii="宋体" w:hAnsi="宋体" w:eastAsia="宋体" w:cs="宋体"/>
          <w:sz w:val="24"/>
          <w:szCs w:val="24"/>
        </w:rPr>
        <w:t>1.鼓励学生积极参与科技竞赛和文体竞赛，根据其参加竞赛级别（国际、国家、省、校、院级）、获奖级别及学生贡献度进行评分，所参与竞赛须在学院奖学金评审委员会审定赛事范围内，其中包括中国研究生电子设计竞赛（含商业计划书专项赛）、全国大学生电子商务“创新、创意及创业”挑战赛、全国研究生数学建模竞赛、“创青春”全</w:t>
      </w:r>
      <w:r>
        <w:rPr>
          <w:rFonts w:hint="eastAsia" w:ascii="宋体" w:hAnsi="宋体"/>
          <w:sz w:val="24"/>
          <w:szCs w:val="24"/>
        </w:rPr>
        <w:t>国大学生创业大赛、中国“互联网+”大学生创新创业大赛等。同时，鼓励学生积极参加“中国大学生年度人物”、“百人会英才奖”等评选活动，获得以上竞赛或评选的国家级（国际级）最高奖项的同学此项评分为满分。</w:t>
      </w: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bCs/>
          <w:sz w:val="24"/>
        </w:rPr>
      </w:pPr>
      <w:r>
        <w:rPr>
          <w:rFonts w:ascii="宋体" w:hAnsi="宋体" w:eastAsia="宋体"/>
          <w:b/>
          <w:sz w:val="24"/>
        </w:rPr>
        <w:t>20</w:t>
      </w:r>
      <w:r>
        <w:rPr>
          <w:rFonts w:hint="default" w:ascii="宋体" w:hAnsi="宋体" w:eastAsia="宋体"/>
          <w:b/>
          <w:sz w:val="24"/>
          <w:lang w:val="en-US" w:eastAsia="zh-CN"/>
        </w:rPr>
        <w:t>21</w:t>
      </w:r>
      <w:r>
        <w:rPr>
          <w:rFonts w:ascii="宋体" w:hAnsi="宋体" w:eastAsia="宋体"/>
          <w:b/>
          <w:sz w:val="24"/>
        </w:rPr>
        <w:t>年</w:t>
      </w:r>
      <w:r>
        <w:rPr>
          <w:rFonts w:hint="default" w:ascii="宋体" w:hAnsi="宋体" w:eastAsia="宋体"/>
          <w:b/>
          <w:sz w:val="24"/>
          <w:lang w:val="en-US" w:eastAsia="zh-CN"/>
        </w:rPr>
        <w:t>0</w:t>
      </w:r>
      <w:r>
        <w:rPr>
          <w:rFonts w:hint="eastAsia" w:ascii="宋体" w:hAnsi="宋体" w:eastAsia="宋体"/>
          <w:b/>
          <w:sz w:val="24"/>
          <w:lang w:val="en-US" w:eastAsia="zh-CN"/>
        </w:rPr>
        <w:t>1</w:t>
      </w:r>
      <w:r>
        <w:rPr>
          <w:rFonts w:ascii="宋体" w:hAnsi="宋体" w:eastAsia="宋体"/>
          <w:b/>
          <w:sz w:val="24"/>
        </w:rPr>
        <w:t>月</w:t>
      </w:r>
    </w:p>
    <w:p>
      <w:pPr>
        <w:sectPr>
          <w:pgSz w:w="11906" w:h="16838"/>
          <w:pgMar w:top="1440" w:right="1800" w:bottom="1440" w:left="1800" w:header="851" w:footer="992" w:gutter="0"/>
          <w:cols w:space="425" w:num="1"/>
          <w:docGrid w:type="lines" w:linePitch="312" w:charSpace="0"/>
        </w:sectPr>
      </w:pPr>
    </w:p>
    <w:p>
      <w:pPr>
        <w:ind w:left="240"/>
        <w:jc w:val="center"/>
        <w:rPr>
          <w:rFonts w:ascii="微软雅黑" w:hAnsi="微软雅黑" w:eastAsia="微软雅黑"/>
          <w:b/>
          <w:sz w:val="28"/>
        </w:rPr>
      </w:pPr>
      <w:r>
        <w:rPr>
          <w:rFonts w:hint="eastAsia" w:ascii="微软雅黑" w:hAnsi="微软雅黑" w:eastAsia="微软雅黑"/>
          <w:b/>
          <w:sz w:val="28"/>
        </w:rPr>
        <w:t>2021年经济与管理学院全日制工商管理硕士(MBA)</w:t>
      </w:r>
    </w:p>
    <w:p>
      <w:pPr>
        <w:ind w:left="240"/>
        <w:jc w:val="center"/>
        <w:rPr>
          <w:rFonts w:ascii="微软雅黑" w:hAnsi="微软雅黑" w:eastAsia="微软雅黑"/>
          <w:b/>
          <w:sz w:val="28"/>
        </w:rPr>
      </w:pPr>
      <w:r>
        <w:rPr>
          <w:rFonts w:hint="eastAsia" w:ascii="微软雅黑" w:hAnsi="微软雅黑" w:eastAsia="微软雅黑"/>
          <w:b/>
          <w:sz w:val="28"/>
        </w:rPr>
        <w:t>学业奖学金评定细则</w:t>
      </w:r>
    </w:p>
    <w:p>
      <w:pPr>
        <w:ind w:firstLine="480" w:firstLineChars="200"/>
        <w:rPr>
          <w:rFonts w:ascii="仿宋" w:hAnsi="仿宋" w:eastAsia="仿宋"/>
          <w:sz w:val="24"/>
        </w:rPr>
      </w:pPr>
      <w:r>
        <w:rPr>
          <w:rFonts w:hint="eastAsia" w:ascii="仿宋" w:hAnsi="仿宋" w:eastAsia="仿宋"/>
          <w:sz w:val="24"/>
        </w:rPr>
        <w:t>为了激励研究生勤奋学习、潜心科研、勇于创新、积极进取，根据《电子科技大学研究生荣誉奖励实施办法》</w:t>
      </w:r>
      <w:r>
        <w:rPr>
          <w:rFonts w:ascii="仿宋" w:hAnsi="仿宋" w:eastAsia="仿宋"/>
          <w:sz w:val="24"/>
        </w:rPr>
        <w:t>校研[2019]16</w:t>
      </w:r>
      <w:r>
        <w:rPr>
          <w:rFonts w:hint="eastAsia" w:ascii="仿宋" w:hAnsi="仿宋" w:eastAsia="仿宋"/>
          <w:sz w:val="24"/>
        </w:rPr>
        <w:t>4号、《电子科技大学研究生学业奖学金评审管理办法》</w:t>
      </w:r>
      <w:r>
        <w:rPr>
          <w:rFonts w:ascii="仿宋" w:hAnsi="仿宋" w:eastAsia="仿宋"/>
          <w:sz w:val="24"/>
        </w:rPr>
        <w:t>校研[2019]166</w:t>
      </w:r>
      <w:r>
        <w:rPr>
          <w:rFonts w:hint="eastAsia" w:ascii="仿宋" w:hAnsi="仿宋" w:eastAsia="仿宋"/>
          <w:sz w:val="24"/>
        </w:rPr>
        <w:t>号、《经济与管理学院研究生学业奖学金评定细则》（2020版）等文件精神，为保证研究生学业奖学金评定公平、公正，特制定本细则。</w:t>
      </w:r>
    </w:p>
    <w:p>
      <w:pPr>
        <w:spacing w:before="156" w:beforeLines="50" w:after="156" w:afterLines="50"/>
        <w:rPr>
          <w:rFonts w:ascii="仿宋" w:hAnsi="仿宋" w:eastAsia="仿宋"/>
          <w:b/>
          <w:sz w:val="24"/>
        </w:rPr>
      </w:pPr>
      <w:r>
        <w:rPr>
          <w:rFonts w:hint="eastAsia" w:ascii="仿宋" w:hAnsi="仿宋" w:eastAsia="仿宋"/>
          <w:b/>
          <w:sz w:val="24"/>
        </w:rPr>
        <w:t>一、申请范围</w:t>
      </w:r>
    </w:p>
    <w:p>
      <w:pPr>
        <w:ind w:left="420" w:leftChars="200"/>
        <w:jc w:val="left"/>
        <w:rPr>
          <w:rFonts w:ascii="仿宋" w:hAnsi="仿宋" w:eastAsia="仿宋"/>
          <w:sz w:val="24"/>
          <w:highlight w:val="none"/>
        </w:rPr>
      </w:pPr>
      <w:r>
        <w:rPr>
          <w:rFonts w:hint="eastAsia" w:ascii="仿宋" w:hAnsi="仿宋" w:eastAsia="仿宋"/>
          <w:sz w:val="24"/>
        </w:rPr>
        <w:t>1</w:t>
      </w:r>
      <w:r>
        <w:rPr>
          <w:rFonts w:hint="eastAsia" w:ascii="仿宋" w:hAnsi="仿宋" w:eastAsia="仿宋"/>
          <w:sz w:val="24"/>
          <w:highlight w:val="none"/>
        </w:rPr>
        <w:t>、热爱祖国，遵守国家法律法规和学校学院规章制度，思想品德行为良好。2、勤奋学习，成绩良好（研一学年学位课程达到</w:t>
      </w:r>
      <w:r>
        <w:rPr>
          <w:rFonts w:hint="eastAsia" w:ascii="仿宋_GB2312" w:eastAsia="仿宋_GB2312"/>
          <w:sz w:val="24"/>
          <w:szCs w:val="24"/>
          <w:highlight w:val="none"/>
        </w:rPr>
        <w:t>培养方案规定的学位课学分要求</w:t>
      </w:r>
      <w:r>
        <w:rPr>
          <w:rFonts w:hint="eastAsia" w:ascii="仿宋" w:hAnsi="仿宋" w:eastAsia="仿宋"/>
          <w:sz w:val="24"/>
          <w:highlight w:val="none"/>
        </w:rPr>
        <w:t>）。</w:t>
      </w:r>
    </w:p>
    <w:p>
      <w:pPr>
        <w:ind w:left="420" w:leftChars="200"/>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、参评研究生应是全日制脱产</w:t>
      </w:r>
      <w:r>
        <w:rPr>
          <w:rFonts w:ascii="仿宋" w:hAnsi="仿宋" w:eastAsia="仿宋"/>
          <w:sz w:val="24"/>
          <w:highlight w:val="none"/>
        </w:rPr>
        <w:t>MBA</w:t>
      </w:r>
      <w:r>
        <w:rPr>
          <w:rFonts w:hint="eastAsia" w:ascii="仿宋" w:hAnsi="仿宋" w:eastAsia="仿宋"/>
          <w:sz w:val="24"/>
          <w:highlight w:val="none"/>
        </w:rPr>
        <w:t>研究生，不含定向研究生和委培研究生。</w:t>
      </w:r>
      <w:r>
        <w:rPr>
          <w:rFonts w:ascii="仿宋" w:hAnsi="仿宋" w:eastAsia="仿宋"/>
          <w:sz w:val="24"/>
          <w:highlight w:val="none"/>
        </w:rPr>
        <w:t>4</w:t>
      </w:r>
      <w:r>
        <w:rPr>
          <w:rFonts w:hint="eastAsia" w:ascii="仿宋" w:hAnsi="仿宋" w:eastAsia="仿宋"/>
          <w:sz w:val="24"/>
          <w:highlight w:val="none"/>
        </w:rPr>
        <w:t>、参评年级为二年级。</w:t>
      </w:r>
    </w:p>
    <w:p>
      <w:pPr>
        <w:spacing w:before="156" w:beforeLines="50" w:after="156" w:afterLines="50"/>
        <w:rPr>
          <w:rFonts w:ascii="仿宋" w:hAnsi="仿宋" w:eastAsia="仿宋"/>
          <w:b/>
          <w:sz w:val="24"/>
          <w:highlight w:val="none"/>
        </w:rPr>
      </w:pPr>
      <w:r>
        <w:rPr>
          <w:rFonts w:hint="eastAsia" w:ascii="仿宋" w:hAnsi="仿宋" w:eastAsia="仿宋"/>
          <w:b/>
          <w:sz w:val="24"/>
          <w:highlight w:val="none"/>
        </w:rPr>
        <w:t>二、有下列情况之一者，取消当年评奖资格</w:t>
      </w:r>
    </w:p>
    <w:p>
      <w:pPr>
        <w:ind w:firstLine="420"/>
        <w:rPr>
          <w:rFonts w:ascii="仿宋" w:hAnsi="仿宋" w:eastAsia="仿宋"/>
          <w:sz w:val="24"/>
          <w:highlight w:val="none"/>
        </w:rPr>
      </w:pPr>
      <w:r>
        <w:rPr>
          <w:rFonts w:hint="eastAsia" w:ascii="仿宋" w:hAnsi="仿宋" w:eastAsia="仿宋"/>
          <w:sz w:val="24"/>
          <w:highlight w:val="none"/>
        </w:rPr>
        <w:t>1、违反国家法律、校纪校规受到纪律处分者</w:t>
      </w:r>
      <w:r>
        <w:rPr>
          <w:rFonts w:ascii="仿宋" w:hAnsi="仿宋" w:eastAsia="仿宋"/>
          <w:sz w:val="24"/>
          <w:highlight w:val="none"/>
        </w:rPr>
        <w:t>；</w:t>
      </w:r>
    </w:p>
    <w:p>
      <w:pPr>
        <w:ind w:firstLine="420"/>
        <w:rPr>
          <w:rFonts w:ascii="仿宋" w:hAnsi="仿宋" w:eastAsia="仿宋"/>
          <w:sz w:val="24"/>
          <w:highlight w:val="none"/>
        </w:rPr>
      </w:pPr>
      <w:r>
        <w:rPr>
          <w:rFonts w:ascii="仿宋" w:hAnsi="仿宋" w:eastAsia="仿宋"/>
          <w:sz w:val="24"/>
          <w:highlight w:val="none"/>
        </w:rPr>
        <w:t>2、未按照学校规定完成</w:t>
      </w:r>
      <w:r>
        <w:rPr>
          <w:rFonts w:hint="eastAsia" w:ascii="仿宋" w:hAnsi="仿宋" w:eastAsia="仿宋"/>
          <w:sz w:val="24"/>
          <w:highlight w:val="none"/>
        </w:rPr>
        <w:t>报到注册手续者；</w:t>
      </w:r>
    </w:p>
    <w:p>
      <w:pPr>
        <w:ind w:firstLine="420"/>
        <w:rPr>
          <w:rFonts w:ascii="仿宋" w:hAnsi="仿宋" w:eastAsia="仿宋"/>
          <w:sz w:val="24"/>
        </w:rPr>
      </w:pPr>
      <w:r>
        <w:rPr>
          <w:rFonts w:ascii="仿宋" w:hAnsi="仿宋" w:eastAsia="仿宋"/>
          <w:sz w:val="24"/>
        </w:rPr>
        <w:t>3</w:t>
      </w:r>
      <w:r>
        <w:rPr>
          <w:rFonts w:hint="eastAsia" w:ascii="仿宋" w:hAnsi="仿宋" w:eastAsia="仿宋"/>
          <w:sz w:val="24"/>
        </w:rPr>
        <w:t>、本人当年未按时提出申请者。</w:t>
      </w:r>
    </w:p>
    <w:p>
      <w:pPr>
        <w:spacing w:before="156" w:beforeLines="50" w:after="156" w:afterLines="50"/>
        <w:rPr>
          <w:rFonts w:ascii="仿宋" w:hAnsi="仿宋" w:eastAsia="仿宋"/>
          <w:b/>
          <w:sz w:val="24"/>
        </w:rPr>
      </w:pPr>
      <w:r>
        <w:rPr>
          <w:rFonts w:hint="eastAsia" w:ascii="仿宋" w:hAnsi="仿宋" w:eastAsia="仿宋"/>
          <w:b/>
          <w:sz w:val="24"/>
        </w:rPr>
        <w:t>三、学院研究生奖学金评审委员会</w:t>
      </w:r>
    </w:p>
    <w:p>
      <w:pPr>
        <w:pStyle w:val="7"/>
        <w:spacing w:line="276" w:lineRule="auto"/>
        <w:ind w:firstLine="422" w:firstLineChars="175"/>
        <w:jc w:val="left"/>
        <w:rPr>
          <w:rFonts w:hint="eastAsia" w:ascii="仿宋" w:hAnsi="仿宋" w:eastAsia="仿宋" w:cstheme="minorBidi"/>
          <w:bCs w:val="0"/>
          <w:sz w:val="24"/>
          <w:szCs w:val="22"/>
        </w:rPr>
      </w:pPr>
      <w:r>
        <w:rPr>
          <w:rFonts w:hint="eastAsia" w:ascii="仿宋" w:hAnsi="仿宋" w:eastAsia="仿宋" w:cstheme="minorBidi"/>
          <w:b/>
          <w:sz w:val="24"/>
          <w:szCs w:val="22"/>
        </w:rPr>
        <w:t>主任</w:t>
      </w:r>
      <w:r>
        <w:rPr>
          <w:rFonts w:ascii="仿宋" w:hAnsi="仿宋" w:eastAsia="仿宋" w:cstheme="minorBidi"/>
          <w:b/>
          <w:sz w:val="24"/>
          <w:szCs w:val="22"/>
        </w:rPr>
        <w:t>委员</w:t>
      </w:r>
      <w:r>
        <w:rPr>
          <w:rFonts w:ascii="仿宋" w:hAnsi="仿宋" w:eastAsia="仿宋" w:cstheme="minorBidi"/>
          <w:b w:val="0"/>
          <w:sz w:val="24"/>
          <w:szCs w:val="22"/>
        </w:rPr>
        <w:t>：</w:t>
      </w:r>
      <w:r>
        <w:rPr>
          <w:rFonts w:hint="eastAsia" w:ascii="仿宋" w:hAnsi="仿宋" w:eastAsia="仿宋" w:cstheme="minorBidi"/>
          <w:bCs w:val="0"/>
          <w:sz w:val="24"/>
          <w:szCs w:val="22"/>
        </w:rPr>
        <w:t>马永开（院长）</w:t>
      </w:r>
    </w:p>
    <w:p>
      <w:pPr>
        <w:pStyle w:val="8"/>
        <w:rPr>
          <w:rFonts w:hint="default" w:eastAsia="仿宋"/>
          <w:lang w:val="en-US" w:eastAsia="zh-CN"/>
        </w:rPr>
      </w:pPr>
      <w:r>
        <w:rPr>
          <w:rFonts w:hint="eastAsia" w:ascii="仿宋" w:hAnsi="仿宋" w:eastAsia="仿宋" w:cstheme="minorBidi"/>
          <w:b/>
          <w:bCs/>
          <w:sz w:val="24"/>
          <w:szCs w:val="22"/>
          <w:lang w:val="en-US" w:eastAsia="zh-CN"/>
        </w:rPr>
        <w:t>副主任委员：</w:t>
      </w:r>
      <w:r>
        <w:rPr>
          <w:rFonts w:hint="eastAsia" w:ascii="仿宋" w:hAnsi="仿宋" w:eastAsia="仿宋"/>
          <w:bCs w:val="0"/>
          <w:sz w:val="24"/>
          <w:szCs w:val="22"/>
        </w:rPr>
        <w:t>陈旭（副院长）、潘杨（副书记）</w:t>
      </w:r>
      <w:r>
        <w:rPr>
          <w:rFonts w:hint="eastAsia" w:ascii="仿宋" w:hAnsi="仿宋" w:eastAsia="仿宋"/>
          <w:bCs w:val="0"/>
          <w:sz w:val="24"/>
          <w:szCs w:val="22"/>
          <w:lang w:eastAsia="zh-CN"/>
        </w:rPr>
        <w:t>、</w:t>
      </w:r>
      <w:r>
        <w:rPr>
          <w:rFonts w:hint="eastAsia" w:ascii="仿宋" w:hAnsi="仿宋" w:eastAsia="仿宋"/>
          <w:bCs w:val="0"/>
          <w:sz w:val="24"/>
          <w:szCs w:val="22"/>
        </w:rPr>
        <w:t>肖延高（副院长）</w:t>
      </w:r>
    </w:p>
    <w:p>
      <w:pPr>
        <w:ind w:firstLine="420"/>
        <w:rPr>
          <w:rFonts w:ascii="仿宋" w:hAnsi="仿宋" w:eastAsia="仿宋"/>
          <w:sz w:val="24"/>
        </w:rPr>
      </w:pPr>
      <w:r>
        <w:rPr>
          <w:rFonts w:hint="eastAsia" w:ascii="仿宋" w:hAnsi="仿宋" w:eastAsia="仿宋"/>
          <w:b/>
          <w:sz w:val="24"/>
          <w:szCs w:val="22"/>
        </w:rPr>
        <w:t>委员</w:t>
      </w:r>
      <w:r>
        <w:rPr>
          <w:rFonts w:ascii="仿宋" w:hAnsi="仿宋" w:eastAsia="仿宋"/>
          <w:b w:val="0"/>
          <w:sz w:val="24"/>
          <w:szCs w:val="22"/>
        </w:rPr>
        <w:t>：</w:t>
      </w:r>
      <w:r>
        <w:rPr>
          <w:rFonts w:hint="eastAsia" w:ascii="仿宋" w:hAnsi="仿宋" w:eastAsia="仿宋"/>
          <w:bCs w:val="0"/>
          <w:sz w:val="24"/>
          <w:szCs w:val="22"/>
        </w:rPr>
        <w:t>艾兴政（教授、系主任）、宋艳（教授、系主任）、李亚静（教授、系主任）、方佳明（教授、副系主任）、钱宇（副教授、系支部书记）、刘文彬（副教授、系支部书记）、尹宇明（副教授、系支部书记）</w:t>
      </w:r>
      <w:r>
        <w:rPr>
          <w:rFonts w:hint="eastAsia" w:ascii="仿宋" w:hAnsi="仿宋" w:eastAsia="仿宋"/>
          <w:bCs w:val="0"/>
          <w:sz w:val="24"/>
          <w:szCs w:val="22"/>
          <w:lang w:eastAsia="zh-CN"/>
        </w:rPr>
        <w:t>、</w:t>
      </w:r>
      <w:r>
        <w:rPr>
          <w:rFonts w:hint="eastAsia" w:ascii="仿宋" w:hAnsi="仿宋" w:eastAsia="仿宋"/>
          <w:bCs w:val="0"/>
          <w:sz w:val="24"/>
          <w:szCs w:val="22"/>
        </w:rPr>
        <w:t>王敏（副教授、副系主任）、陈朝龙（副教授、副系主任）、马捷（副教授、副系主任）、陈德富（MBA项目主任）、孔刚、陈莉</w:t>
      </w:r>
      <w:r>
        <w:rPr>
          <w:rFonts w:hint="eastAsia" w:ascii="仿宋" w:hAnsi="仿宋" w:eastAsia="仿宋"/>
          <w:bCs w:val="0"/>
          <w:sz w:val="24"/>
          <w:szCs w:val="22"/>
          <w:lang w:eastAsia="zh-CN"/>
        </w:rPr>
        <w:t>（</w:t>
      </w:r>
      <w:r>
        <w:rPr>
          <w:rFonts w:hint="eastAsia" w:ascii="仿宋" w:hAnsi="仿宋" w:eastAsia="仿宋"/>
          <w:bCs w:val="0"/>
          <w:sz w:val="24"/>
          <w:szCs w:val="22"/>
          <w:lang w:val="en-US" w:eastAsia="zh-CN"/>
        </w:rPr>
        <w:t>学生科科长</w:t>
      </w:r>
      <w:r>
        <w:rPr>
          <w:rFonts w:hint="eastAsia" w:ascii="仿宋" w:hAnsi="仿宋" w:eastAsia="仿宋"/>
          <w:bCs w:val="0"/>
          <w:sz w:val="24"/>
          <w:szCs w:val="22"/>
          <w:lang w:eastAsia="zh-CN"/>
        </w:rPr>
        <w:t>）</w:t>
      </w:r>
      <w:r>
        <w:rPr>
          <w:rFonts w:hint="eastAsia" w:ascii="仿宋" w:hAnsi="仿宋" w:eastAsia="仿宋"/>
          <w:bCs w:val="0"/>
          <w:sz w:val="24"/>
          <w:szCs w:val="22"/>
        </w:rPr>
        <w:t>、刘军（研究生辅导员）、刘刚（研究生辅导员）、刘成圆（研究生辅导员）、教师代表、学生代表（不少于两名）</w:t>
      </w:r>
      <w:r>
        <w:rPr>
          <w:rFonts w:hint="eastAsia" w:ascii="仿宋" w:hAnsi="仿宋" w:eastAsia="仿宋"/>
          <w:sz w:val="24"/>
        </w:rPr>
        <w:t>。</w:t>
      </w:r>
    </w:p>
    <w:p>
      <w:pPr>
        <w:spacing w:before="156" w:beforeLines="50" w:after="156" w:afterLines="50"/>
        <w:rPr>
          <w:rFonts w:ascii="仿宋" w:hAnsi="仿宋" w:eastAsia="仿宋"/>
          <w:b/>
          <w:sz w:val="24"/>
        </w:rPr>
      </w:pPr>
      <w:r>
        <w:rPr>
          <w:rFonts w:hint="eastAsia" w:ascii="仿宋" w:hAnsi="仿宋" w:eastAsia="仿宋"/>
          <w:b/>
          <w:sz w:val="24"/>
        </w:rPr>
        <w:t>四、基本流程</w:t>
      </w:r>
    </w:p>
    <w:p>
      <w:pPr>
        <w:ind w:firstLine="420"/>
        <w:rPr>
          <w:rFonts w:ascii="仿宋" w:hAnsi="仿宋" w:eastAsia="仿宋"/>
          <w:sz w:val="24"/>
        </w:rPr>
      </w:pPr>
      <w:r>
        <w:rPr>
          <w:rFonts w:hint="eastAsia" w:ascii="仿宋" w:hAnsi="仿宋" w:eastAsia="仿宋"/>
          <w:sz w:val="24"/>
        </w:rPr>
        <w:t>1、学生提出申请；</w:t>
      </w:r>
    </w:p>
    <w:p>
      <w:pPr>
        <w:ind w:firstLine="420"/>
        <w:rPr>
          <w:rFonts w:ascii="仿宋" w:hAnsi="仿宋" w:eastAsia="仿宋"/>
          <w:sz w:val="24"/>
        </w:rPr>
      </w:pPr>
      <w:r>
        <w:rPr>
          <w:rFonts w:hint="eastAsia" w:ascii="仿宋" w:hAnsi="仿宋" w:eastAsia="仿宋"/>
          <w:sz w:val="24"/>
        </w:rPr>
        <w:t>2、学院对申请人进行资格审查；</w:t>
      </w:r>
    </w:p>
    <w:p>
      <w:pPr>
        <w:ind w:firstLine="420"/>
        <w:rPr>
          <w:rFonts w:ascii="仿宋" w:hAnsi="仿宋" w:eastAsia="仿宋"/>
          <w:sz w:val="24"/>
        </w:rPr>
      </w:pPr>
      <w:r>
        <w:rPr>
          <w:rFonts w:hint="eastAsia" w:ascii="仿宋" w:hAnsi="仿宋" w:eastAsia="仿宋"/>
          <w:sz w:val="24"/>
        </w:rPr>
        <w:t>3、学院研究生奖学金评审委员会组织评定；</w:t>
      </w:r>
    </w:p>
    <w:p>
      <w:pPr>
        <w:ind w:firstLine="420"/>
        <w:rPr>
          <w:rFonts w:ascii="仿宋" w:hAnsi="仿宋" w:eastAsia="仿宋"/>
          <w:sz w:val="24"/>
        </w:rPr>
      </w:pPr>
      <w:r>
        <w:rPr>
          <w:rFonts w:hint="eastAsia" w:ascii="仿宋" w:hAnsi="仿宋" w:eastAsia="仿宋"/>
          <w:sz w:val="24"/>
        </w:rPr>
        <w:t>4、</w:t>
      </w:r>
      <w:r>
        <w:rPr>
          <w:rFonts w:ascii="仿宋" w:hAnsi="仿宋" w:eastAsia="仿宋"/>
          <w:sz w:val="24"/>
        </w:rPr>
        <w:t>公示</w:t>
      </w:r>
      <w:r>
        <w:rPr>
          <w:rFonts w:hint="eastAsia" w:ascii="仿宋" w:hAnsi="仿宋" w:eastAsia="仿宋"/>
          <w:sz w:val="24"/>
        </w:rPr>
        <w:t>学院初评推荐</w:t>
      </w:r>
      <w:r>
        <w:rPr>
          <w:rFonts w:ascii="仿宋" w:hAnsi="仿宋" w:eastAsia="仿宋"/>
          <w:sz w:val="24"/>
        </w:rPr>
        <w:t>结果</w:t>
      </w:r>
      <w:r>
        <w:rPr>
          <w:rFonts w:hint="eastAsia" w:ascii="仿宋" w:hAnsi="仿宋" w:eastAsia="仿宋"/>
          <w:sz w:val="24"/>
        </w:rPr>
        <w:t>；</w:t>
      </w:r>
    </w:p>
    <w:p>
      <w:pPr>
        <w:ind w:firstLine="420"/>
        <w:rPr>
          <w:rFonts w:ascii="仿宋" w:hAnsi="仿宋" w:eastAsia="仿宋"/>
          <w:sz w:val="24"/>
        </w:rPr>
      </w:pPr>
      <w:r>
        <w:rPr>
          <w:rFonts w:hint="eastAsia" w:ascii="仿宋" w:hAnsi="仿宋" w:eastAsia="仿宋"/>
          <w:sz w:val="24"/>
        </w:rPr>
        <w:t>5、在公示期内，如有异议可进行申诉；</w:t>
      </w:r>
    </w:p>
    <w:p>
      <w:pPr>
        <w:ind w:firstLine="420"/>
        <w:rPr>
          <w:rFonts w:ascii="仿宋" w:hAnsi="仿宋" w:eastAsia="仿宋"/>
          <w:sz w:val="24"/>
        </w:rPr>
      </w:pPr>
      <w:r>
        <w:rPr>
          <w:rFonts w:hint="eastAsia" w:ascii="仿宋" w:hAnsi="仿宋" w:eastAsia="仿宋"/>
          <w:sz w:val="24"/>
        </w:rPr>
        <w:t>6、将学院初评推荐结果报送研究生院审核。</w:t>
      </w:r>
    </w:p>
    <w:p>
      <w:pPr>
        <w:spacing w:before="156" w:beforeLines="50" w:after="156" w:afterLines="50"/>
        <w:rPr>
          <w:rFonts w:ascii="仿宋" w:hAnsi="仿宋" w:eastAsia="仿宋"/>
          <w:b/>
          <w:sz w:val="24"/>
        </w:rPr>
      </w:pPr>
      <w:r>
        <w:rPr>
          <w:rFonts w:hint="eastAsia" w:ascii="仿宋" w:hAnsi="仿宋" w:eastAsia="仿宋"/>
          <w:b/>
          <w:sz w:val="24"/>
        </w:rPr>
        <w:t>五、名额分配方式</w:t>
      </w:r>
    </w:p>
    <w:p>
      <w:pPr>
        <w:ind w:firstLine="480" w:firstLineChars="200"/>
        <w:rPr>
          <w:rFonts w:ascii="仿宋" w:hAnsi="仿宋" w:eastAsia="仿宋"/>
          <w:sz w:val="24"/>
        </w:rPr>
      </w:pPr>
      <w:r>
        <w:rPr>
          <w:rFonts w:hint="eastAsia" w:ascii="仿宋" w:hAnsi="仿宋" w:eastAsia="仿宋"/>
          <w:sz w:val="24"/>
        </w:rPr>
        <w:t>按照研究生手册《电子科技大学研究生学业奖学金评审管理办法》中规定的学业奖学金获奖比例，以二年级全日制非定向M</w:t>
      </w:r>
      <w:r>
        <w:rPr>
          <w:rFonts w:ascii="仿宋" w:hAnsi="仿宋" w:eastAsia="仿宋"/>
          <w:sz w:val="24"/>
        </w:rPr>
        <w:t>BA</w:t>
      </w:r>
      <w:r>
        <w:rPr>
          <w:rFonts w:hint="eastAsia" w:ascii="仿宋" w:hAnsi="仿宋" w:eastAsia="仿宋"/>
          <w:sz w:val="24"/>
        </w:rPr>
        <w:t>学生人数为基数进行核定。</w:t>
      </w:r>
    </w:p>
    <w:p>
      <w:pPr>
        <w:spacing w:before="156" w:beforeLines="50" w:after="156" w:afterLines="50"/>
        <w:rPr>
          <w:rFonts w:ascii="仿宋" w:hAnsi="仿宋" w:eastAsia="仿宋"/>
          <w:b/>
          <w:sz w:val="24"/>
        </w:rPr>
      </w:pPr>
      <w:r>
        <w:rPr>
          <w:rFonts w:hint="eastAsia" w:ascii="仿宋" w:hAnsi="仿宋" w:eastAsia="仿宋"/>
          <w:b/>
          <w:sz w:val="24"/>
        </w:rPr>
        <w:t>六、公示</w:t>
      </w:r>
    </w:p>
    <w:p>
      <w:pPr>
        <w:ind w:firstLine="480" w:firstLineChars="200"/>
        <w:rPr>
          <w:rFonts w:ascii="仿宋" w:hAnsi="仿宋" w:eastAsia="仿宋"/>
          <w:sz w:val="24"/>
        </w:rPr>
      </w:pPr>
      <w:r>
        <w:rPr>
          <w:rFonts w:hint="eastAsia" w:ascii="仿宋" w:hAnsi="仿宋" w:eastAsia="仿宋"/>
          <w:sz w:val="24"/>
        </w:rPr>
        <w:t>1、公示方式：学院M</w:t>
      </w:r>
      <w:r>
        <w:rPr>
          <w:rFonts w:ascii="仿宋" w:hAnsi="仿宋" w:eastAsia="仿宋"/>
          <w:sz w:val="24"/>
        </w:rPr>
        <w:t>BA</w:t>
      </w:r>
      <w:r>
        <w:rPr>
          <w:rFonts w:hint="eastAsia" w:ascii="仿宋" w:hAnsi="仿宋" w:eastAsia="仿宋"/>
          <w:sz w:val="24"/>
        </w:rPr>
        <w:t>教育中心官方网站：</w:t>
      </w:r>
      <w:r>
        <w:fldChar w:fldCharType="begin"/>
      </w:r>
      <w:r>
        <w:instrText xml:space="preserve"> HYPERLINK "http://www.mba.uestc.edu.cn/" </w:instrText>
      </w:r>
      <w:r>
        <w:fldChar w:fldCharType="separate"/>
      </w:r>
      <w:r>
        <w:rPr>
          <w:rFonts w:hint="eastAsia" w:ascii="仿宋" w:hAnsi="仿宋" w:eastAsia="仿宋"/>
          <w:sz w:val="24"/>
        </w:rPr>
        <w:t>www.mba.uestc.edu.cn</w:t>
      </w:r>
      <w:r>
        <w:rPr>
          <w:rFonts w:hint="eastAsia" w:ascii="仿宋" w:hAnsi="仿宋" w:eastAsia="仿宋"/>
          <w:sz w:val="24"/>
        </w:rPr>
        <w:fldChar w:fldCharType="end"/>
      </w:r>
      <w:r>
        <w:rPr>
          <w:rFonts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2、其他补充公示方式：公告板、班级微信、</w:t>
      </w:r>
      <w:r>
        <w:rPr>
          <w:rFonts w:ascii="仿宋" w:hAnsi="仿宋" w:eastAsia="仿宋"/>
          <w:sz w:val="24"/>
        </w:rPr>
        <w:t>QQ</w:t>
      </w:r>
      <w:r>
        <w:rPr>
          <w:rFonts w:hint="eastAsia" w:ascii="仿宋" w:hAnsi="仿宋" w:eastAsia="仿宋"/>
          <w:sz w:val="24"/>
        </w:rPr>
        <w:t>群。</w:t>
      </w:r>
    </w:p>
    <w:p>
      <w:pPr>
        <w:ind w:firstLine="480" w:firstLineChars="200"/>
        <w:rPr>
          <w:rFonts w:ascii="仿宋" w:hAnsi="仿宋" w:eastAsia="仿宋"/>
          <w:sz w:val="24"/>
        </w:rPr>
      </w:pPr>
      <w:r>
        <w:rPr>
          <w:rFonts w:hint="eastAsia" w:ascii="仿宋" w:hAnsi="仿宋" w:eastAsia="仿宋"/>
          <w:sz w:val="24"/>
        </w:rPr>
        <w:t>3、公示内容：学位课程学分加权平均分、奖学金排名、获奖名单等。</w:t>
      </w:r>
    </w:p>
    <w:p>
      <w:pPr>
        <w:spacing w:line="400" w:lineRule="exact"/>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公示时间：拟推荐获奖名单公示时间不少于5个工作日。</w:t>
      </w:r>
    </w:p>
    <w:p>
      <w:pPr>
        <w:ind w:firstLine="480" w:firstLineChars="200"/>
        <w:rPr>
          <w:rFonts w:ascii="仿宋" w:hAnsi="仿宋" w:eastAsia="仿宋"/>
          <w:sz w:val="24"/>
        </w:rPr>
      </w:pPr>
    </w:p>
    <w:p>
      <w:pPr>
        <w:spacing w:before="156" w:beforeLines="50" w:after="156" w:afterLines="50"/>
        <w:rPr>
          <w:rFonts w:ascii="仿宋" w:hAnsi="仿宋" w:eastAsia="仿宋"/>
          <w:b/>
          <w:sz w:val="24"/>
        </w:rPr>
      </w:pPr>
      <w:r>
        <w:rPr>
          <w:rFonts w:hint="eastAsia" w:ascii="仿宋" w:hAnsi="仿宋" w:eastAsia="仿宋"/>
          <w:b/>
          <w:sz w:val="24"/>
        </w:rPr>
        <w:t>七、申诉</w:t>
      </w:r>
    </w:p>
    <w:p>
      <w:pPr>
        <w:ind w:firstLine="480" w:firstLineChars="200"/>
        <w:rPr>
          <w:rFonts w:ascii="仿宋" w:hAnsi="仿宋" w:eastAsia="仿宋"/>
          <w:sz w:val="24"/>
        </w:rPr>
      </w:pPr>
      <w:r>
        <w:rPr>
          <w:rFonts w:hint="eastAsia" w:ascii="仿宋" w:hAnsi="仿宋" w:eastAsia="仿宋"/>
          <w:sz w:val="24"/>
        </w:rPr>
        <w:t>对学业奖学金评审结果有异议的研究生，可在学院公示期内向本学院研究生奖学金评审委员会提出书面申诉，评审委员会将及时研究并予以答复。</w:t>
      </w:r>
    </w:p>
    <w:p>
      <w:pPr>
        <w:ind w:firstLine="480" w:firstLineChars="200"/>
        <w:rPr>
          <w:rFonts w:ascii="仿宋" w:hAnsi="仿宋" w:eastAsia="仿宋"/>
          <w:sz w:val="24"/>
        </w:rPr>
      </w:pPr>
      <w:r>
        <w:rPr>
          <w:rFonts w:hint="eastAsia" w:ascii="仿宋" w:hAnsi="仿宋" w:eastAsia="仿宋"/>
          <w:sz w:val="24"/>
        </w:rPr>
        <w:t>申诉邮箱：</w:t>
      </w:r>
      <w:r>
        <w:fldChar w:fldCharType="begin"/>
      </w:r>
      <w:r>
        <w:instrText xml:space="preserve"> HYPERLINK "mailto:mba@uestc.edu.cn" </w:instrText>
      </w:r>
      <w:r>
        <w:fldChar w:fldCharType="separate"/>
      </w:r>
      <w:r>
        <w:rPr>
          <w:rFonts w:hint="eastAsia" w:ascii="仿宋" w:hAnsi="仿宋" w:eastAsia="仿宋"/>
          <w:sz w:val="24"/>
        </w:rPr>
        <w:t>mba@uestc.edu.cn</w:t>
      </w:r>
      <w:r>
        <w:rPr>
          <w:rFonts w:hint="eastAsia" w:ascii="仿宋" w:hAnsi="仿宋" w:eastAsia="仿宋"/>
          <w:sz w:val="24"/>
        </w:rPr>
        <w:fldChar w:fldCharType="end"/>
      </w:r>
      <w:r>
        <w:rPr>
          <w:rFonts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联系电话：（028</w:t>
      </w:r>
      <w:r>
        <w:rPr>
          <w:rFonts w:ascii="仿宋" w:hAnsi="仿宋" w:eastAsia="仿宋"/>
          <w:sz w:val="24"/>
        </w:rPr>
        <w:t>）</w:t>
      </w:r>
      <w:r>
        <w:rPr>
          <w:rFonts w:hint="eastAsia" w:ascii="仿宋" w:hAnsi="仿宋" w:eastAsia="仿宋"/>
          <w:sz w:val="24"/>
        </w:rPr>
        <w:t>61831635。</w:t>
      </w:r>
    </w:p>
    <w:p>
      <w:pPr>
        <w:spacing w:before="156" w:beforeLines="50" w:after="156" w:afterLines="50"/>
        <w:rPr>
          <w:rFonts w:ascii="仿宋" w:hAnsi="仿宋" w:eastAsia="仿宋"/>
          <w:b/>
          <w:sz w:val="24"/>
        </w:rPr>
      </w:pPr>
      <w:r>
        <w:rPr>
          <w:rFonts w:hint="eastAsia" w:ascii="仿宋" w:hAnsi="仿宋" w:eastAsia="仿宋"/>
          <w:b/>
          <w:sz w:val="24"/>
        </w:rPr>
        <w:t>八、奖学金评定详细办法（见附件）</w:t>
      </w:r>
    </w:p>
    <w:p>
      <w:pPr>
        <w:spacing w:after="156" w:afterLines="50" w:line="240" w:lineRule="atLeast"/>
        <w:ind w:firstLine="540" w:firstLineChars="300"/>
        <w:rPr>
          <w:rFonts w:ascii="仿宋" w:hAnsi="仿宋" w:eastAsia="仿宋"/>
          <w:sz w:val="18"/>
        </w:rPr>
      </w:pPr>
      <w:r>
        <w:rPr>
          <w:rFonts w:hint="eastAsia" w:ascii="仿宋" w:hAnsi="仿宋" w:eastAsia="仿宋"/>
          <w:sz w:val="18"/>
        </w:rPr>
        <w:t>附件1：20</w:t>
      </w:r>
      <w:r>
        <w:rPr>
          <w:rFonts w:ascii="仿宋" w:hAnsi="仿宋" w:eastAsia="仿宋"/>
          <w:sz w:val="18"/>
        </w:rPr>
        <w:t>21</w:t>
      </w:r>
      <w:r>
        <w:rPr>
          <w:rFonts w:hint="eastAsia" w:ascii="仿宋" w:hAnsi="仿宋" w:eastAsia="仿宋"/>
          <w:sz w:val="18"/>
        </w:rPr>
        <w:t>年经济与管理学院全日制工商管理硕士(MBA)学业奖学金评定详细办法</w:t>
      </w:r>
    </w:p>
    <w:p>
      <w:pPr>
        <w:spacing w:before="156" w:beforeLines="50" w:after="156" w:afterLines="50"/>
        <w:rPr>
          <w:rFonts w:ascii="仿宋" w:hAnsi="仿宋" w:eastAsia="仿宋"/>
          <w:b/>
          <w:sz w:val="24"/>
        </w:rPr>
      </w:pPr>
      <w:r>
        <w:rPr>
          <w:rFonts w:hint="eastAsia" w:ascii="仿宋" w:hAnsi="仿宋" w:eastAsia="仿宋"/>
          <w:b/>
          <w:sz w:val="24"/>
        </w:rPr>
        <w:t>九、本细则由电子科技大学经济与管理学院研究生奖学金评审委员会负责解释 。</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电子科技大学经济与管理学院</w:t>
      </w:r>
    </w:p>
    <w:p>
      <w:pPr>
        <w:ind w:firstLine="240" w:firstLineChars="100"/>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2020</w:t>
      </w:r>
      <w:r>
        <w:rPr>
          <w:rFonts w:hint="eastAsia" w:ascii="仿宋" w:hAnsi="仿宋" w:eastAsia="仿宋"/>
          <w:sz w:val="24"/>
        </w:rPr>
        <w:t>年12月</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0" w:firstLineChars="0"/>
        <w:rPr>
          <w:rFonts w:ascii="仿宋" w:hAnsi="仿宋" w:eastAsia="仿宋"/>
          <w:sz w:val="24"/>
        </w:rPr>
      </w:pPr>
    </w:p>
    <w:p>
      <w:pPr>
        <w:rPr>
          <w:rFonts w:ascii="仿宋" w:hAnsi="仿宋" w:eastAsia="仿宋"/>
          <w:sz w:val="24"/>
        </w:rPr>
      </w:pPr>
      <w:r>
        <w:rPr>
          <w:rFonts w:hint="eastAsia" w:ascii="仿宋" w:hAnsi="仿宋" w:eastAsia="仿宋"/>
          <w:sz w:val="24"/>
        </w:rPr>
        <w:t>附件1：</w:t>
      </w:r>
    </w:p>
    <w:p>
      <w:pPr>
        <w:ind w:left="240"/>
        <w:jc w:val="center"/>
        <w:rPr>
          <w:rFonts w:ascii="微软雅黑" w:hAnsi="微软雅黑" w:eastAsia="微软雅黑"/>
          <w:b/>
          <w:sz w:val="28"/>
        </w:rPr>
      </w:pPr>
      <w:r>
        <w:rPr>
          <w:rFonts w:hint="eastAsia" w:ascii="微软雅黑" w:hAnsi="微软雅黑" w:eastAsia="微软雅黑"/>
          <w:b/>
          <w:sz w:val="28"/>
        </w:rPr>
        <w:t>2021年经济与管理学院全日制工商管理硕士(MBA)</w:t>
      </w:r>
    </w:p>
    <w:p>
      <w:pPr>
        <w:ind w:left="240"/>
        <w:jc w:val="center"/>
        <w:rPr>
          <w:rFonts w:ascii="微软雅黑" w:hAnsi="微软雅黑" w:eastAsia="微软雅黑"/>
          <w:b/>
          <w:sz w:val="28"/>
        </w:rPr>
      </w:pPr>
      <w:r>
        <w:rPr>
          <w:rFonts w:hint="eastAsia" w:ascii="微软雅黑" w:hAnsi="微软雅黑" w:eastAsia="微软雅黑"/>
          <w:b/>
          <w:sz w:val="28"/>
        </w:rPr>
        <w:t>学业奖学金评定详细办法</w:t>
      </w:r>
    </w:p>
    <w:p>
      <w:pPr>
        <w:spacing w:before="156" w:beforeLines="50" w:after="156" w:afterLines="50"/>
        <w:rPr>
          <w:rFonts w:ascii="仿宋" w:hAnsi="仿宋" w:eastAsia="仿宋"/>
          <w:b/>
          <w:sz w:val="24"/>
        </w:rPr>
      </w:pPr>
      <w:r>
        <w:rPr>
          <w:rFonts w:hint="eastAsia" w:ascii="仿宋" w:hAnsi="仿宋" w:eastAsia="仿宋"/>
          <w:b/>
          <w:sz w:val="24"/>
        </w:rPr>
        <w:t>一、M</w:t>
      </w:r>
      <w:r>
        <w:rPr>
          <w:rFonts w:ascii="仿宋" w:hAnsi="仿宋" w:eastAsia="仿宋"/>
          <w:b/>
          <w:sz w:val="24"/>
        </w:rPr>
        <w:t>BA</w:t>
      </w:r>
      <w:r>
        <w:rPr>
          <w:rFonts w:hint="eastAsia" w:ascii="仿宋" w:hAnsi="仿宋" w:eastAsia="仿宋"/>
          <w:b/>
          <w:sz w:val="24"/>
        </w:rPr>
        <w:t>学业奖学金等级、</w:t>
      </w:r>
      <w:r>
        <w:rPr>
          <w:rFonts w:hint="eastAsia" w:ascii="仿宋" w:hAnsi="仿宋" w:eastAsia="仿宋"/>
          <w:b/>
          <w:color w:val="000000" w:themeColor="text1"/>
          <w:sz w:val="24"/>
          <w14:textFill>
            <w14:solidFill>
              <w14:schemeClr w14:val="tx1"/>
            </w14:solidFill>
          </w14:textFill>
        </w:rPr>
        <w:t>最高比例</w:t>
      </w:r>
      <w:r>
        <w:rPr>
          <w:rFonts w:hint="eastAsia" w:ascii="仿宋" w:hAnsi="仿宋" w:eastAsia="仿宋"/>
          <w:b/>
          <w:sz w:val="24"/>
        </w:rPr>
        <w:t>和奖励额度</w:t>
      </w:r>
    </w:p>
    <w:p>
      <w:pPr>
        <w:spacing w:before="156" w:beforeLines="50" w:after="156" w:afterLines="50"/>
        <w:jc w:val="center"/>
        <w:rPr>
          <w:rFonts w:ascii="仿宋" w:hAnsi="仿宋" w:eastAsia="仿宋"/>
        </w:rPr>
      </w:pPr>
      <w:r>
        <w:rPr>
          <w:rFonts w:hint="eastAsia" w:ascii="仿宋" w:hAnsi="仿宋" w:eastAsia="仿宋"/>
          <w:sz w:val="22"/>
        </w:rPr>
        <w:t>表1</w:t>
      </w:r>
      <w:r>
        <w:rPr>
          <w:rFonts w:ascii="仿宋" w:hAnsi="仿宋" w:eastAsia="仿宋"/>
        </w:rPr>
        <w:t xml:space="preserve"> </w:t>
      </w:r>
      <w:r>
        <w:rPr>
          <w:rFonts w:hint="eastAsia" w:ascii="仿宋" w:hAnsi="仿宋" w:eastAsia="仿宋"/>
          <w:sz w:val="22"/>
        </w:rPr>
        <w:t>M</w:t>
      </w:r>
      <w:r>
        <w:rPr>
          <w:rFonts w:ascii="仿宋" w:hAnsi="仿宋" w:eastAsia="仿宋"/>
          <w:sz w:val="22"/>
        </w:rPr>
        <w:t>BA</w:t>
      </w:r>
      <w:r>
        <w:rPr>
          <w:rFonts w:hint="eastAsia" w:ascii="仿宋" w:hAnsi="仿宋" w:eastAsia="仿宋"/>
          <w:sz w:val="22"/>
        </w:rPr>
        <w:t>学业奖学金等级、</w:t>
      </w:r>
      <w:r>
        <w:rPr>
          <w:rFonts w:hint="eastAsia" w:ascii="仿宋" w:hAnsi="仿宋" w:eastAsia="仿宋"/>
          <w:color w:val="000000" w:themeColor="text1"/>
          <w:sz w:val="22"/>
          <w14:textFill>
            <w14:solidFill>
              <w14:schemeClr w14:val="tx1"/>
            </w14:solidFill>
          </w14:textFill>
        </w:rPr>
        <w:t>最高比例</w:t>
      </w:r>
      <w:r>
        <w:rPr>
          <w:rFonts w:hint="eastAsia" w:ascii="仿宋" w:hAnsi="仿宋" w:eastAsia="仿宋"/>
          <w:sz w:val="22"/>
        </w:rPr>
        <w:t>和奖励额度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212"/>
        <w:gridCol w:w="1318"/>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pPr>
              <w:widowControl/>
              <w:spacing w:line="360" w:lineRule="auto"/>
              <w:jc w:val="center"/>
              <w:rPr>
                <w:rFonts w:ascii="仿宋" w:hAnsi="仿宋" w:eastAsia="仿宋"/>
                <w:b/>
              </w:rPr>
            </w:pPr>
            <w:r>
              <w:rPr>
                <w:rFonts w:hint="eastAsia" w:ascii="仿宋" w:hAnsi="仿宋" w:eastAsia="仿宋"/>
                <w:b/>
              </w:rPr>
              <w:t>类别</w:t>
            </w:r>
          </w:p>
        </w:tc>
        <w:tc>
          <w:tcPr>
            <w:tcW w:w="2212" w:type="dxa"/>
          </w:tcPr>
          <w:p>
            <w:pPr>
              <w:widowControl/>
              <w:spacing w:line="360" w:lineRule="auto"/>
              <w:jc w:val="center"/>
              <w:rPr>
                <w:rFonts w:ascii="仿宋" w:hAnsi="仿宋" w:eastAsia="仿宋"/>
                <w:b/>
              </w:rPr>
            </w:pPr>
            <w:r>
              <w:rPr>
                <w:rFonts w:hint="eastAsia" w:ascii="仿宋" w:hAnsi="仿宋" w:eastAsia="仿宋"/>
                <w:b/>
              </w:rPr>
              <w:t>学业奖学金等级</w:t>
            </w:r>
          </w:p>
        </w:tc>
        <w:tc>
          <w:tcPr>
            <w:tcW w:w="1318" w:type="dxa"/>
          </w:tcPr>
          <w:p>
            <w:pPr>
              <w:widowControl/>
              <w:spacing w:line="360" w:lineRule="auto"/>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最高比例</w:t>
            </w:r>
          </w:p>
        </w:tc>
        <w:tc>
          <w:tcPr>
            <w:tcW w:w="1967" w:type="dxa"/>
          </w:tcPr>
          <w:p>
            <w:pPr>
              <w:widowControl/>
              <w:spacing w:line="360" w:lineRule="auto"/>
              <w:jc w:val="center"/>
              <w:rPr>
                <w:rFonts w:ascii="仿宋" w:hAnsi="仿宋" w:eastAsia="仿宋"/>
                <w:b/>
              </w:rPr>
            </w:pPr>
            <w:r>
              <w:rPr>
                <w:rFonts w:hint="eastAsia" w:ascii="仿宋" w:hAnsi="仿宋" w:eastAsia="仿宋"/>
                <w:b/>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Merge w:val="restart"/>
            <w:vAlign w:val="center"/>
          </w:tcPr>
          <w:p>
            <w:pPr>
              <w:widowControl/>
              <w:spacing w:line="360" w:lineRule="auto"/>
              <w:jc w:val="center"/>
              <w:rPr>
                <w:rFonts w:ascii="仿宋" w:hAnsi="仿宋" w:eastAsia="仿宋"/>
              </w:rPr>
            </w:pPr>
            <w:r>
              <w:rPr>
                <w:rFonts w:hint="eastAsia" w:ascii="仿宋" w:hAnsi="仿宋" w:eastAsia="仿宋"/>
              </w:rPr>
              <w:t>MBA</w:t>
            </w:r>
          </w:p>
        </w:tc>
        <w:tc>
          <w:tcPr>
            <w:tcW w:w="2212" w:type="dxa"/>
          </w:tcPr>
          <w:p>
            <w:pPr>
              <w:widowControl/>
              <w:spacing w:line="360" w:lineRule="auto"/>
              <w:jc w:val="center"/>
              <w:rPr>
                <w:rFonts w:ascii="仿宋" w:hAnsi="仿宋" w:eastAsia="仿宋"/>
              </w:rPr>
            </w:pPr>
            <w:r>
              <w:rPr>
                <w:rFonts w:hint="eastAsia" w:ascii="仿宋" w:hAnsi="仿宋" w:eastAsia="仿宋"/>
              </w:rPr>
              <w:t>一等奖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w:t>
            </w:r>
          </w:p>
        </w:tc>
        <w:tc>
          <w:tcPr>
            <w:tcW w:w="1967" w:type="dxa"/>
          </w:tcPr>
          <w:p>
            <w:pPr>
              <w:widowControl/>
              <w:spacing w:line="360" w:lineRule="auto"/>
              <w:jc w:val="center"/>
              <w:rPr>
                <w:rFonts w:ascii="仿宋" w:hAnsi="仿宋" w:eastAsia="仿宋"/>
              </w:rPr>
            </w:pPr>
            <w:r>
              <w:rPr>
                <w:rFonts w:hint="eastAsia" w:ascii="仿宋" w:hAnsi="仿宋" w:eastAsia="仿宋"/>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Merge w:val="continue"/>
          </w:tcPr>
          <w:p>
            <w:pPr>
              <w:widowControl/>
              <w:spacing w:line="360" w:lineRule="auto"/>
              <w:jc w:val="left"/>
              <w:rPr>
                <w:rFonts w:ascii="仿宋" w:hAnsi="仿宋" w:eastAsia="仿宋"/>
              </w:rPr>
            </w:pPr>
          </w:p>
        </w:tc>
        <w:tc>
          <w:tcPr>
            <w:tcW w:w="2212" w:type="dxa"/>
          </w:tcPr>
          <w:p>
            <w:pPr>
              <w:widowControl/>
              <w:spacing w:line="360" w:lineRule="auto"/>
              <w:jc w:val="center"/>
              <w:rPr>
                <w:rFonts w:ascii="仿宋" w:hAnsi="仿宋" w:eastAsia="仿宋"/>
              </w:rPr>
            </w:pPr>
            <w:r>
              <w:rPr>
                <w:rFonts w:hint="eastAsia" w:ascii="仿宋" w:hAnsi="仿宋" w:eastAsia="仿宋"/>
              </w:rPr>
              <w:t>二等奖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1967" w:type="dxa"/>
          </w:tcPr>
          <w:p>
            <w:pPr>
              <w:widowControl/>
              <w:spacing w:line="360" w:lineRule="auto"/>
              <w:jc w:val="center"/>
              <w:rPr>
                <w:rFonts w:ascii="仿宋" w:hAnsi="仿宋" w:eastAsia="仿宋"/>
              </w:rPr>
            </w:pPr>
            <w:r>
              <w:rPr>
                <w:rFonts w:hint="eastAsia" w:ascii="仿宋" w:hAnsi="仿宋" w:eastAsia="仿宋"/>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Merge w:val="continue"/>
          </w:tcPr>
          <w:p>
            <w:pPr>
              <w:widowControl/>
              <w:spacing w:line="360" w:lineRule="auto"/>
              <w:jc w:val="left"/>
              <w:rPr>
                <w:rFonts w:ascii="仿宋" w:hAnsi="仿宋" w:eastAsia="仿宋"/>
              </w:rPr>
            </w:pPr>
          </w:p>
        </w:tc>
        <w:tc>
          <w:tcPr>
            <w:tcW w:w="2212" w:type="dxa"/>
          </w:tcPr>
          <w:p>
            <w:pPr>
              <w:widowControl/>
              <w:spacing w:line="360" w:lineRule="auto"/>
              <w:jc w:val="center"/>
              <w:rPr>
                <w:rFonts w:ascii="仿宋" w:hAnsi="仿宋" w:eastAsia="仿宋"/>
              </w:rPr>
            </w:pPr>
            <w:r>
              <w:rPr>
                <w:rFonts w:hint="eastAsia" w:ascii="仿宋" w:hAnsi="仿宋" w:eastAsia="仿宋"/>
              </w:rPr>
              <w:t>三等奖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30%</w:t>
            </w:r>
          </w:p>
        </w:tc>
        <w:tc>
          <w:tcPr>
            <w:tcW w:w="1967" w:type="dxa"/>
          </w:tcPr>
          <w:p>
            <w:pPr>
              <w:widowControl/>
              <w:spacing w:line="360" w:lineRule="auto"/>
              <w:jc w:val="center"/>
              <w:rPr>
                <w:rFonts w:ascii="仿宋" w:hAnsi="仿宋" w:eastAsia="仿宋"/>
              </w:rPr>
            </w:pPr>
            <w:r>
              <w:rPr>
                <w:rFonts w:hint="eastAsia" w:ascii="仿宋" w:hAnsi="仿宋" w:eastAsia="仿宋"/>
              </w:rPr>
              <w:t>4000</w:t>
            </w:r>
          </w:p>
        </w:tc>
      </w:tr>
    </w:tbl>
    <w:p>
      <w:pPr>
        <w:rPr>
          <w:rFonts w:ascii="仿宋" w:hAnsi="仿宋" w:eastAsia="仿宋"/>
          <w:b/>
          <w:sz w:val="24"/>
        </w:rPr>
      </w:pPr>
    </w:p>
    <w:p>
      <w:pPr>
        <w:spacing w:before="156" w:beforeLines="50" w:after="156" w:afterLines="50"/>
        <w:rPr>
          <w:rFonts w:ascii="仿宋" w:hAnsi="仿宋" w:eastAsia="仿宋"/>
          <w:b/>
          <w:sz w:val="24"/>
        </w:rPr>
      </w:pPr>
      <w:r>
        <w:rPr>
          <w:rFonts w:hint="eastAsia" w:ascii="仿宋" w:hAnsi="仿宋" w:eastAsia="仿宋"/>
          <w:b/>
          <w:sz w:val="24"/>
        </w:rPr>
        <w:t>二、M</w:t>
      </w:r>
      <w:r>
        <w:rPr>
          <w:rFonts w:ascii="仿宋" w:hAnsi="仿宋" w:eastAsia="仿宋"/>
          <w:b/>
          <w:sz w:val="24"/>
        </w:rPr>
        <w:t>BA</w:t>
      </w:r>
      <w:r>
        <w:rPr>
          <w:rFonts w:hint="eastAsia" w:ascii="仿宋" w:hAnsi="仿宋" w:eastAsia="仿宋"/>
          <w:b/>
          <w:sz w:val="24"/>
        </w:rPr>
        <w:t>学业奖学金最终成绩计算标准</w:t>
      </w:r>
    </w:p>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1、MBA学业奖学金评定细则。</w:t>
      </w:r>
    </w:p>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（1）二年级MBA学业奖学金按照课程成绩、科研成绩等发展性素质方面取得的成绩进行综合排名，成绩依据表2、表3、表4项目进行相应计分。</w:t>
      </w:r>
    </w:p>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表2</w:t>
      </w:r>
      <w:r>
        <w:rPr>
          <w:rFonts w:eastAsia="仿宋" w:cs="Calibri"/>
          <w:sz w:val="22"/>
        </w:rPr>
        <w:t xml:space="preserve"> </w:t>
      </w:r>
      <w:r>
        <w:rPr>
          <w:rFonts w:hint="eastAsia" w:ascii="仿宋" w:hAnsi="仿宋" w:eastAsia="仿宋"/>
          <w:sz w:val="24"/>
        </w:rPr>
        <w:t>二年级</w:t>
      </w:r>
      <w:r>
        <w:rPr>
          <w:rFonts w:hint="eastAsia" w:ascii="仿宋" w:hAnsi="仿宋" w:eastAsia="仿宋"/>
          <w:sz w:val="22"/>
        </w:rPr>
        <w:t>MBA学业奖学金评分细则</w:t>
      </w:r>
    </w:p>
    <w:tbl>
      <w:tblPr>
        <w:tblStyle w:val="2"/>
        <w:tblW w:w="8515" w:type="dxa"/>
        <w:tblInd w:w="0" w:type="dxa"/>
        <w:shd w:val="clear" w:color="auto" w:fill="FFFFFF"/>
        <w:tblLayout w:type="autofit"/>
        <w:tblCellMar>
          <w:top w:w="0" w:type="dxa"/>
          <w:left w:w="0" w:type="dxa"/>
          <w:bottom w:w="0" w:type="dxa"/>
          <w:right w:w="0" w:type="dxa"/>
        </w:tblCellMar>
      </w:tblPr>
      <w:tblGrid>
        <w:gridCol w:w="1428"/>
        <w:gridCol w:w="1134"/>
        <w:gridCol w:w="5953"/>
      </w:tblGrid>
      <w:tr>
        <w:tblPrEx>
          <w:shd w:val="clear" w:color="auto" w:fill="FFFFFF"/>
          <w:tblCellMar>
            <w:top w:w="0" w:type="dxa"/>
            <w:left w:w="0" w:type="dxa"/>
            <w:bottom w:w="0" w:type="dxa"/>
            <w:right w:w="0" w:type="dxa"/>
          </w:tblCellMar>
        </w:tblPrEx>
        <w:trPr>
          <w:trHeight w:val="453" w:hRule="atLeast"/>
        </w:trPr>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评分项目</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所占比例</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评分依据</w:t>
            </w:r>
          </w:p>
        </w:tc>
      </w:tr>
      <w:tr>
        <w:tblPrEx>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课程成绩</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ascii="仿宋" w:hAnsi="仿宋" w:eastAsia="仿宋" w:cs="宋体"/>
                <w:color w:val="313131"/>
                <w:kern w:val="0"/>
                <w:sz w:val="18"/>
                <w:szCs w:val="18"/>
              </w:rPr>
              <w:t>80</w:t>
            </w:r>
            <w:r>
              <w:rPr>
                <w:rFonts w:hint="eastAsia" w:ascii="仿宋" w:hAnsi="仿宋" w:eastAsia="仿宋" w:cs="宋体"/>
                <w:color w:val="313131"/>
                <w:kern w:val="0"/>
                <w:sz w:val="18"/>
                <w:szCs w:val="18"/>
              </w:rPr>
              <w:t>%</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24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具有申请资格的MBA学生根据所修研一学年学位课程学分加权平均分进行比例换算。</w:t>
            </w:r>
          </w:p>
        </w:tc>
      </w:tr>
      <w:tr>
        <w:tblPrEx>
          <w:tblCellMar>
            <w:top w:w="0" w:type="dxa"/>
            <w:left w:w="0" w:type="dxa"/>
            <w:bottom w:w="0" w:type="dxa"/>
            <w:right w:w="0" w:type="dxa"/>
          </w:tblCellMar>
        </w:tblPrEx>
        <w:trPr>
          <w:trHeight w:val="469" w:hRule="atLeast"/>
        </w:trPr>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科研成绩</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5%</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val="0"/>
              <w:shd w:val="clear" w:color="auto" w:fill="auto"/>
              <w:spacing w:line="240" w:lineRule="auto"/>
              <w:jc w:val="both"/>
              <w:rPr>
                <w:rFonts w:ascii="仿宋" w:hAnsi="仿宋" w:eastAsia="仿宋" w:cs="宋体"/>
                <w:color w:val="313131"/>
                <w:kern w:val="0"/>
                <w:sz w:val="18"/>
                <w:szCs w:val="18"/>
              </w:rPr>
            </w:pPr>
            <w:r>
              <w:rPr>
                <w:rFonts w:hint="eastAsia" w:ascii="仿宋" w:hAnsi="仿宋" w:eastAsia="仿宋" w:cs="宋体"/>
                <w:color w:val="313131"/>
                <w:kern w:val="0"/>
                <w:sz w:val="18"/>
                <w:szCs w:val="18"/>
              </w:rPr>
              <w:t>依</w:t>
            </w:r>
            <w:r>
              <w:rPr>
                <w:rFonts w:hint="eastAsia" w:ascii="仿宋" w:hAnsi="仿宋" w:eastAsia="仿宋" w:cs="宋体"/>
                <w:color w:val="000000" w:themeColor="text1"/>
                <w:kern w:val="0"/>
                <w:sz w:val="18"/>
                <w:szCs w:val="18"/>
                <w14:textFill>
                  <w14:solidFill>
                    <w14:schemeClr w14:val="tx1"/>
                  </w14:solidFill>
                </w14:textFill>
              </w:rPr>
              <w:t>据在研一学年内科研成绩</w:t>
            </w:r>
            <w:r>
              <w:rPr>
                <w:rFonts w:hint="eastAsia" w:ascii="仿宋" w:hAnsi="仿宋" w:eastAsia="仿宋" w:cs="宋体"/>
                <w:color w:val="313131"/>
                <w:kern w:val="0"/>
                <w:sz w:val="18"/>
                <w:szCs w:val="18"/>
              </w:rPr>
              <w:t>等级计分，详见计分标准。</w:t>
            </w:r>
          </w:p>
        </w:tc>
      </w:tr>
      <w:tr>
        <w:tblPrEx>
          <w:tblCellMar>
            <w:top w:w="0" w:type="dxa"/>
            <w:left w:w="0" w:type="dxa"/>
            <w:bottom w:w="0" w:type="dxa"/>
            <w:right w:w="0" w:type="dxa"/>
          </w:tblCellMar>
        </w:tblPrEx>
        <w:trPr>
          <w:trHeight w:val="1680" w:hRule="atLeast"/>
        </w:trPr>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ascii="仿宋" w:hAnsi="仿宋" w:eastAsia="仿宋" w:cs="宋体"/>
                <w:color w:val="313131"/>
                <w:kern w:val="0"/>
                <w:sz w:val="18"/>
                <w:szCs w:val="18"/>
              </w:rPr>
              <w:t>5</w:t>
            </w:r>
            <w:r>
              <w:rPr>
                <w:rFonts w:hint="eastAsia" w:ascii="仿宋" w:hAnsi="仿宋" w:eastAsia="仿宋" w:cs="宋体"/>
                <w:color w:val="313131"/>
                <w:kern w:val="0"/>
                <w:sz w:val="18"/>
                <w:szCs w:val="18"/>
              </w:rPr>
              <w:t>%</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24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在</w:t>
            </w:r>
            <w:r>
              <w:rPr>
                <w:rFonts w:hint="eastAsia" w:ascii="仿宋" w:hAnsi="仿宋" w:eastAsia="仿宋" w:cs="宋体"/>
                <w:color w:val="000000" w:themeColor="text1"/>
                <w:kern w:val="0"/>
                <w:sz w:val="18"/>
                <w:szCs w:val="18"/>
                <w14:textFill>
                  <w14:solidFill>
                    <w14:schemeClr w14:val="tx1"/>
                  </w14:solidFill>
                </w14:textFill>
              </w:rPr>
              <w:t>研一学年内，参</w:t>
            </w:r>
            <w:r>
              <w:rPr>
                <w:rFonts w:hint="eastAsia" w:ascii="仿宋" w:hAnsi="仿宋" w:eastAsia="仿宋" w:cs="宋体"/>
                <w:color w:val="313131"/>
                <w:kern w:val="0"/>
                <w:sz w:val="18"/>
                <w:szCs w:val="18"/>
              </w:rPr>
              <w:t>加国家级、省部级、市校级及国内外权威机构组织的、经学院研究生奖学金评审委员会认定的正式学科竞赛（包括管理案例大赛、GMC挑战赛、全国高校企业竞争模拟大赛、全国MBA培养院校企业竞争模拟大赛、数学建模竞赛、研究生电子设计竞赛商业计划书专项赛、互联网+创业大赛、挑战杯系列竞赛等）并在竞赛中获奖的，以及获全国性或西南地区MBA荣誉称号的，提交获奖证书复印件并出示原件进行计分，详见计分标准。</w:t>
            </w:r>
          </w:p>
        </w:tc>
      </w:tr>
      <w:tr>
        <w:tblPrEx>
          <w:tblCellMar>
            <w:top w:w="0" w:type="dxa"/>
            <w:left w:w="0" w:type="dxa"/>
            <w:bottom w:w="0" w:type="dxa"/>
            <w:right w:w="0" w:type="dxa"/>
          </w:tblCellMar>
        </w:tblPrEx>
        <w:trPr>
          <w:trHeight w:val="798" w:hRule="atLeast"/>
        </w:trPr>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5%</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24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根据在工作中的创新与创业（</w:t>
            </w:r>
            <w:r>
              <w:rPr>
                <w:rFonts w:hint="eastAsia" w:ascii="仿宋" w:hAnsi="仿宋" w:eastAsia="仿宋" w:cs="宋体"/>
                <w:kern w:val="0"/>
                <w:sz w:val="18"/>
                <w:szCs w:val="18"/>
              </w:rPr>
              <w:t>需附当前经营状态为存续的企业</w:t>
            </w:r>
            <w:r>
              <w:rPr>
                <w:rFonts w:hint="eastAsia" w:ascii="仿宋" w:hAnsi="仿宋" w:eastAsia="仿宋" w:cs="宋体"/>
                <w:color w:val="313131"/>
                <w:kern w:val="0"/>
                <w:sz w:val="18"/>
                <w:szCs w:val="18"/>
              </w:rPr>
              <w:t>相关工商注册等证明原件和复印件，至少应持股30%及以上（相关注册和持股信息以“天眼查”平台信息为准））情况计分，详见计分标准。</w:t>
            </w:r>
          </w:p>
        </w:tc>
      </w:tr>
      <w:tr>
        <w:tblPrEx>
          <w:tblCellMar>
            <w:top w:w="0" w:type="dxa"/>
            <w:left w:w="0" w:type="dxa"/>
            <w:bottom w:w="0" w:type="dxa"/>
            <w:right w:w="0" w:type="dxa"/>
          </w:tblCellMar>
        </w:tblPrEx>
        <w:trPr>
          <w:trHeight w:val="1249" w:hRule="atLeast"/>
        </w:trPr>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公共服务及活动参与</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ascii="仿宋" w:hAnsi="仿宋" w:eastAsia="仿宋" w:cs="宋体"/>
                <w:color w:val="313131"/>
                <w:kern w:val="0"/>
                <w:sz w:val="18"/>
                <w:szCs w:val="18"/>
              </w:rPr>
              <w:t>5</w:t>
            </w:r>
            <w:r>
              <w:rPr>
                <w:rFonts w:hint="eastAsia" w:ascii="仿宋" w:hAnsi="仿宋" w:eastAsia="仿宋" w:cs="宋体"/>
                <w:color w:val="313131"/>
                <w:kern w:val="0"/>
                <w:sz w:val="18"/>
                <w:szCs w:val="18"/>
              </w:rPr>
              <w:t>%</w:t>
            </w:r>
          </w:p>
        </w:tc>
        <w:tc>
          <w:tcPr>
            <w:tcW w:w="59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24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在</w:t>
            </w:r>
            <w:r>
              <w:rPr>
                <w:rFonts w:hint="eastAsia" w:ascii="仿宋" w:hAnsi="仿宋" w:eastAsia="仿宋" w:cs="宋体"/>
                <w:color w:val="000000" w:themeColor="text1"/>
                <w:kern w:val="0"/>
                <w:sz w:val="18"/>
                <w:szCs w:val="18"/>
                <w14:textFill>
                  <w14:solidFill>
                    <w14:schemeClr w14:val="tx1"/>
                  </w14:solidFill>
                </w14:textFill>
              </w:rPr>
              <w:t>研一学年</w:t>
            </w:r>
            <w:r>
              <w:rPr>
                <w:rFonts w:hint="eastAsia" w:ascii="仿宋" w:hAnsi="仿宋" w:eastAsia="仿宋" w:cs="宋体"/>
                <w:color w:val="313131"/>
                <w:kern w:val="0"/>
                <w:sz w:val="18"/>
                <w:szCs w:val="18"/>
              </w:rPr>
              <w:t>内，积极组织和参与各项针对MBA学生的校内外活动，为本班级、MBA学生联合会、MBA校友会、MBA教育中心和学院做出了一定的贡献，据实际情况计分，详见计分标准。</w:t>
            </w:r>
          </w:p>
        </w:tc>
      </w:tr>
    </w:tbl>
    <w:p>
      <w:pPr>
        <w:widowControl/>
        <w:shd w:val="clear" w:color="auto" w:fill="FFFFFF"/>
        <w:spacing w:line="360" w:lineRule="auto"/>
        <w:ind w:firstLine="440" w:firstLineChars="200"/>
        <w:jc w:val="both"/>
        <w:rPr>
          <w:rFonts w:ascii="仿宋" w:hAnsi="仿宋" w:eastAsia="仿宋"/>
          <w:sz w:val="22"/>
        </w:rPr>
      </w:pPr>
      <w:r>
        <w:rPr>
          <w:rFonts w:hint="eastAsia" w:ascii="仿宋" w:hAnsi="仿宋" w:eastAsia="仿宋"/>
          <w:sz w:val="22"/>
        </w:rPr>
        <w:t>本评定办法中“研一学年”为</w:t>
      </w:r>
      <w:r>
        <w:rPr>
          <w:rFonts w:hint="eastAsia" w:ascii="仿宋" w:hAnsi="仿宋" w:eastAsia="仿宋"/>
          <w:sz w:val="22"/>
          <w:highlight w:val="none"/>
        </w:rPr>
        <w:t>2020年9月3日到2021年8月31日，相关证明材料或证书落款时间以此为准。</w:t>
      </w:r>
    </w:p>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表3</w:t>
      </w:r>
      <w:r>
        <w:rPr>
          <w:rFonts w:ascii="仿宋" w:hAnsi="仿宋" w:eastAsia="仿宋"/>
          <w:sz w:val="22"/>
        </w:rPr>
        <w:t xml:space="preserve"> </w:t>
      </w:r>
      <w:r>
        <w:rPr>
          <w:rFonts w:hint="eastAsia" w:ascii="仿宋" w:hAnsi="仿宋" w:eastAsia="仿宋"/>
          <w:sz w:val="22"/>
        </w:rPr>
        <w:t>二年级MBA硕士研究生学业奖学金发展性素质计分标准</w:t>
      </w:r>
    </w:p>
    <w:tbl>
      <w:tblPr>
        <w:tblStyle w:val="2"/>
        <w:tblW w:w="8657" w:type="dxa"/>
        <w:tblInd w:w="0" w:type="dxa"/>
        <w:shd w:val="clear" w:color="auto" w:fill="FFFFFF"/>
        <w:tblLayout w:type="autofit"/>
        <w:tblCellMar>
          <w:top w:w="0" w:type="dxa"/>
          <w:left w:w="0" w:type="dxa"/>
          <w:bottom w:w="0" w:type="dxa"/>
          <w:right w:w="0" w:type="dxa"/>
        </w:tblCellMar>
      </w:tblPr>
      <w:tblGrid>
        <w:gridCol w:w="861"/>
        <w:gridCol w:w="1843"/>
        <w:gridCol w:w="1559"/>
        <w:gridCol w:w="1417"/>
        <w:gridCol w:w="1560"/>
        <w:gridCol w:w="1417"/>
      </w:tblGrid>
      <w:tr>
        <w:tblPrEx>
          <w:shd w:val="clear" w:color="auto" w:fill="FFFFFF"/>
          <w:tblCellMar>
            <w:top w:w="0" w:type="dxa"/>
            <w:left w:w="0" w:type="dxa"/>
            <w:bottom w:w="0" w:type="dxa"/>
            <w:right w:w="0" w:type="dxa"/>
          </w:tblCellMar>
        </w:tblPrEx>
        <w:tc>
          <w:tcPr>
            <w:tcW w:w="27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参考计分</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40</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30</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20</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10</w:t>
            </w:r>
          </w:p>
        </w:tc>
      </w:tr>
      <w:tr>
        <w:tblPrEx>
          <w:tblCellMar>
            <w:top w:w="0" w:type="dxa"/>
            <w:left w:w="0" w:type="dxa"/>
            <w:bottom w:w="0" w:type="dxa"/>
            <w:right w:w="0" w:type="dxa"/>
          </w:tblCellMar>
        </w:tblPrEx>
        <w:tc>
          <w:tcPr>
            <w:tcW w:w="27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获奖等级</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特等奖/一等奖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二等奖</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三等奖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鼓励奖/优胜奖</w:t>
            </w:r>
          </w:p>
        </w:tc>
      </w:tr>
      <w:tr>
        <w:tblPrEx>
          <w:tblCellMar>
            <w:top w:w="0" w:type="dxa"/>
            <w:left w:w="0" w:type="dxa"/>
            <w:bottom w:w="0" w:type="dxa"/>
            <w:right w:w="0" w:type="dxa"/>
          </w:tblCellMar>
        </w:tblPrEx>
        <w:tc>
          <w:tcPr>
            <w:tcW w:w="27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名次</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3—4</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参与者</w:t>
            </w: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科研成绩</w:t>
            </w: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科技学术论文</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第1作者</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第2作者</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第3作者</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第4及以后作者</w:t>
            </w: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其他科技成果</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部、省级</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市级</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各类竞赛</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特等奖/一等奖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二等奖</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三等奖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鼓励奖/优胜奖</w:t>
            </w: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MBA荣誉</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315"/>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全国性</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地区性</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kern w:val="0"/>
                <w:sz w:val="18"/>
                <w:szCs w:val="18"/>
              </w:rPr>
            </w:pPr>
          </w:p>
        </w:tc>
      </w:tr>
      <w:tr>
        <w:tblPrEx>
          <w:tblCellMar>
            <w:top w:w="0" w:type="dxa"/>
            <w:left w:w="0" w:type="dxa"/>
            <w:bottom w:w="0" w:type="dxa"/>
            <w:right w:w="0" w:type="dxa"/>
          </w:tblCellMar>
        </w:tblPrEx>
        <w:tc>
          <w:tcPr>
            <w:tcW w:w="86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公司及企业规模</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大型/国家高新技术企业</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中型</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小型</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微型</w:t>
            </w: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公共服务</w:t>
            </w: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联合会干部考核</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班委/党支部干部考核</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俱乐部/社团干部考核</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8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社会实践、社会服务（特殊表彰）</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全国级先进个人、先进团队成员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省、市级先进个人、先进团队成员</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校级先进个人、先进团队成员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院级先进个人、先进团队成员</w:t>
            </w:r>
          </w:p>
        </w:tc>
      </w:tr>
      <w:tr>
        <w:tblPrEx>
          <w:tblCellMar>
            <w:top w:w="0" w:type="dxa"/>
            <w:left w:w="0" w:type="dxa"/>
            <w:bottom w:w="0" w:type="dxa"/>
            <w:right w:w="0" w:type="dxa"/>
          </w:tblCellMar>
        </w:tblPrEx>
        <w:tc>
          <w:tcPr>
            <w:tcW w:w="27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学校、学院、联合会组织的大型活动（如：入学导向、运动会、创新创业论坛、新年晚会等）参与。（请详填《评奖年度活动参与及公共服务表》及《奖学金申请表》）</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组织策划负责人</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模块负责人</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模块实施者</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其它活动干事</w:t>
            </w:r>
          </w:p>
        </w:tc>
      </w:tr>
    </w:tbl>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科技论文和科技成果须以电子科技大学为第一完成单位或共同完成单位，且必须和学科相关，否则不计分。</w:t>
      </w:r>
    </w:p>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同一和同类奖项积分按最高分奖项计分，不重复计分（如联合会干部考核和班委干部考核同为优，只记联合会干部考核成绩）。表3中学生干部考核评分为任满一学年的分数，担任干部必须满一学期，不满一学年者按照一学期计算分数，该项总分减半。俱乐部和社团需在相关部门备案，并由指导单位给出考评证明。</w:t>
      </w:r>
    </w:p>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表4</w:t>
      </w:r>
      <w:r>
        <w:rPr>
          <w:rFonts w:eastAsia="仿宋" w:cs="Calibri"/>
          <w:sz w:val="22"/>
        </w:rPr>
        <w:t xml:space="preserve"> </w:t>
      </w:r>
      <w:r>
        <w:rPr>
          <w:rFonts w:hint="eastAsia" w:ascii="仿宋" w:hAnsi="仿宋" w:eastAsia="仿宋"/>
          <w:sz w:val="22"/>
        </w:rPr>
        <w:t>二年级MBA硕士研究生学业奖学金发展性素质项目参考权重</w:t>
      </w:r>
    </w:p>
    <w:tbl>
      <w:tblPr>
        <w:tblStyle w:val="2"/>
        <w:tblW w:w="5000" w:type="pct"/>
        <w:tblInd w:w="0" w:type="dxa"/>
        <w:shd w:val="clear" w:color="auto" w:fill="FFFFFF"/>
        <w:tblLayout w:type="autofit"/>
        <w:tblCellMar>
          <w:top w:w="0" w:type="dxa"/>
          <w:left w:w="0" w:type="dxa"/>
          <w:bottom w:w="0" w:type="dxa"/>
          <w:right w:w="0" w:type="dxa"/>
        </w:tblCellMar>
      </w:tblPr>
      <w:tblGrid>
        <w:gridCol w:w="1177"/>
        <w:gridCol w:w="5299"/>
        <w:gridCol w:w="1850"/>
      </w:tblGrid>
      <w:tr>
        <w:tblPrEx>
          <w:shd w:val="clear" w:color="auto" w:fill="FFFFFF"/>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b/>
                <w:color w:val="313131"/>
                <w:kern w:val="0"/>
                <w:szCs w:val="21"/>
              </w:rPr>
            </w:pPr>
            <w:r>
              <w:rPr>
                <w:rFonts w:hint="eastAsia" w:ascii="仿宋" w:hAnsi="仿宋" w:eastAsia="仿宋" w:cs="宋体"/>
                <w:b/>
                <w:color w:val="313131"/>
                <w:kern w:val="0"/>
                <w:szCs w:val="21"/>
              </w:rPr>
              <w:t>项目</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b/>
                <w:color w:val="313131"/>
                <w:kern w:val="0"/>
                <w:szCs w:val="21"/>
              </w:rPr>
            </w:pPr>
            <w:r>
              <w:rPr>
                <w:rFonts w:hint="eastAsia" w:ascii="仿宋" w:hAnsi="仿宋" w:eastAsia="仿宋" w:cs="宋体"/>
                <w:b/>
                <w:color w:val="313131"/>
                <w:kern w:val="0"/>
                <w:szCs w:val="21"/>
              </w:rPr>
              <w:t>权重（系数）</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科技学术论文</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部、省级刊物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w:t>
            </w:r>
            <w:r>
              <w:rPr>
                <w:rFonts w:ascii="仿宋" w:hAnsi="仿宋" w:eastAsia="仿宋" w:cs="宋体"/>
                <w:color w:val="313131"/>
                <w:kern w:val="0"/>
                <w:sz w:val="18"/>
                <w:szCs w:val="18"/>
              </w:rPr>
              <w:t>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市级刊物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校院级刊物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科技成果（需出具相关部门鉴定）</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2.5</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省部级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市级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董事长/总经理或70%及以上股份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中高层管理者（副总、总监）或50%及以上股份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一般股东或30%及以上股份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干部考核</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校学生会主席、MBA联合会主席、MBA西南联盟理事</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校学生会副主席、MBA联合会副主席</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社团社长、MBA各类俱乐部负责人、MBA联合会部长、社团及俱乐部副社长、班长、党支部书记/副书记</w:t>
            </w:r>
          </w:p>
        </w:tc>
        <w:tc>
          <w:tcPr>
            <w:tcW w:w="1111"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MBA联合会副部长、社团及俱乐部部长、班委、党支部支委</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0.8</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联合会干事、社团及俱乐部干事</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社会实践</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特殊表彰</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活动参与</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bl>
    <w:p>
      <w:pPr>
        <w:pStyle w:val="8"/>
        <w:widowControl/>
        <w:numPr>
          <w:ilvl w:val="0"/>
          <w:numId w:val="37"/>
        </w:numPr>
        <w:shd w:val="clear" w:color="auto" w:fill="FFFFFF"/>
        <w:spacing w:line="360" w:lineRule="auto"/>
        <w:ind w:firstLineChars="0"/>
        <w:jc w:val="left"/>
        <w:rPr>
          <w:rFonts w:ascii="仿宋" w:hAnsi="仿宋" w:eastAsia="仿宋"/>
          <w:sz w:val="24"/>
        </w:rPr>
      </w:pPr>
      <w:r>
        <w:rPr>
          <w:rFonts w:hint="eastAsia" w:ascii="仿宋" w:hAnsi="仿宋" w:eastAsia="仿宋"/>
          <w:sz w:val="24"/>
        </w:rPr>
        <w:t>各发展性素质模块得分=∑（计分*权重）。</w:t>
      </w:r>
    </w:p>
    <w:p>
      <w:pPr>
        <w:widowControl/>
        <w:shd w:val="clear" w:color="auto" w:fill="FFFFFF"/>
        <w:spacing w:line="360" w:lineRule="auto"/>
        <w:ind w:firstLine="240" w:firstLineChars="100"/>
        <w:jc w:val="left"/>
        <w:rPr>
          <w:rFonts w:ascii="仿宋" w:hAnsi="仿宋" w:eastAsia="仿宋"/>
          <w:sz w:val="24"/>
        </w:rPr>
      </w:pPr>
      <w:r>
        <w:rPr>
          <w:rFonts w:hint="eastAsia" w:ascii="仿宋" w:hAnsi="仿宋" w:eastAsia="仿宋"/>
          <w:sz w:val="24"/>
        </w:rPr>
        <w:t>（2）学位课程学分加权平均分=</w:t>
      </w:r>
      <w:r>
        <w:rPr>
          <w:rFonts w:ascii="仿宋" w:hAnsi="仿宋" w:eastAsia="仿宋"/>
          <w:sz w:val="24"/>
        </w:rPr>
        <w:object>
          <v:shape id="_x0000_i1061" o:spt="75" type="#_x0000_t75" style="height:20.5pt;width:63pt;" o:ole="t" filled="f" o:preferrelative="t" stroked="f" coordsize="21600,21600">
            <v:path/>
            <v:fill on="f" focussize="0,0"/>
            <v:stroke on="f" joinstyle="miter"/>
            <v:imagedata r:id="rId50" o:title=""/>
            <o:lock v:ext="edit" aspectratio="t"/>
            <w10:wrap type="none"/>
            <w10:anchorlock/>
          </v:shape>
          <o:OLEObject Type="Embed" ProgID="Equation.3" ShapeID="_x0000_i1061" DrawAspect="Content" ObjectID="_1468075761" r:id="rId49">
            <o:LockedField>false</o:LockedField>
          </o:OLEObject>
        </w:object>
      </w:r>
    </w:p>
    <w:p>
      <w:pPr>
        <w:ind w:firstLine="480" w:firstLineChars="200"/>
        <w:rPr>
          <w:rFonts w:ascii="仿宋" w:hAnsi="仿宋" w:eastAsia="仿宋"/>
          <w:sz w:val="24"/>
        </w:rPr>
      </w:pPr>
      <w:r>
        <w:rPr>
          <w:rFonts w:hint="eastAsia" w:ascii="仿宋" w:hAnsi="仿宋" w:eastAsia="仿宋"/>
          <w:sz w:val="24"/>
        </w:rPr>
        <w:t>其中：</w:t>
      </w:r>
    </w:p>
    <w:p>
      <w:pPr>
        <w:adjustRightInd w:val="0"/>
        <w:ind w:firstLine="960" w:firstLineChars="400"/>
        <w:rPr>
          <w:rFonts w:ascii="仿宋" w:hAnsi="仿宋" w:eastAsia="仿宋"/>
          <w:sz w:val="24"/>
        </w:rPr>
      </w:pPr>
      <w:r>
        <w:rPr>
          <w:rFonts w:hint="eastAsia" w:ascii="仿宋" w:hAnsi="仿宋" w:eastAsia="仿宋"/>
          <w:sz w:val="24"/>
        </w:rPr>
        <w:t>Ri=某学位课程学分数*实得分数（百分制）</w:t>
      </w:r>
    </w:p>
    <w:p>
      <w:pPr>
        <w:widowControl/>
        <w:shd w:val="clear" w:color="auto" w:fill="FFFFFF"/>
        <w:spacing w:line="360" w:lineRule="auto"/>
        <w:ind w:firstLine="960" w:firstLineChars="400"/>
        <w:jc w:val="left"/>
        <w:rPr>
          <w:rFonts w:ascii="仿宋" w:hAnsi="仿宋" w:eastAsia="仿宋"/>
          <w:sz w:val="24"/>
        </w:rPr>
      </w:pPr>
      <w:r>
        <w:rPr>
          <w:rFonts w:hint="eastAsia" w:ascii="仿宋" w:hAnsi="仿宋" w:eastAsia="仿宋"/>
          <w:sz w:val="24"/>
        </w:rPr>
        <w:t>Ai=该学位课程的学分数</w:t>
      </w:r>
    </w:p>
    <w:p>
      <w:pPr>
        <w:widowControl/>
        <w:shd w:val="clear" w:color="auto" w:fill="FFFFFF"/>
        <w:spacing w:line="360" w:lineRule="auto"/>
        <w:ind w:firstLine="240" w:firstLineChars="100"/>
        <w:jc w:val="left"/>
        <w:rPr>
          <w:rFonts w:ascii="仿宋" w:hAnsi="仿宋" w:eastAsia="仿宋"/>
          <w:sz w:val="24"/>
        </w:rPr>
      </w:pPr>
      <w:r>
        <w:rPr>
          <w:rFonts w:hint="eastAsia" w:ascii="仿宋" w:hAnsi="仿宋" w:eastAsia="仿宋"/>
          <w:sz w:val="24"/>
        </w:rPr>
        <w:t>（3）MBA学业奖学金评定的最终成绩计算方式如下：</w:t>
      </w:r>
    </w:p>
    <w:p>
      <w:pPr>
        <w:widowControl/>
        <w:shd w:val="clear" w:color="auto" w:fill="FFFFFF"/>
        <w:spacing w:line="360" w:lineRule="auto"/>
        <w:jc w:val="left"/>
        <w:rPr>
          <w:rFonts w:ascii="仿宋" w:hAnsi="仿宋" w:eastAsia="仿宋"/>
          <w:sz w:val="24"/>
        </w:rPr>
      </w:pPr>
      <w:r>
        <w:rPr>
          <w:rFonts w:hint="eastAsia" w:ascii="仿宋" w:hAnsi="仿宋" w:eastAsia="仿宋"/>
          <w:sz w:val="24"/>
        </w:rPr>
        <w:t>最终成绩总分=学位课程学分加权平均分*80%+科研成绩素质模块得分*5%+学科竞赛素质模块得分*5%+创新创业素质模块得分*5%+公共服务素质模块得分*5%。</w:t>
      </w:r>
    </w:p>
    <w:p>
      <w:pPr>
        <w:widowControl/>
        <w:shd w:val="clear" w:color="auto" w:fill="FFFFFF"/>
        <w:spacing w:line="360" w:lineRule="auto"/>
        <w:jc w:val="left"/>
        <w:rPr>
          <w:rFonts w:ascii="仿宋" w:hAnsi="仿宋" w:eastAsia="仿宋"/>
          <w:color w:val="FF0000"/>
          <w:sz w:val="24"/>
        </w:rPr>
      </w:pPr>
      <w:r>
        <w:rPr>
          <w:rFonts w:ascii="仿宋" w:hAnsi="仿宋" w:eastAsia="仿宋"/>
          <w:sz w:val="24"/>
        </w:rPr>
        <w:t xml:space="preserve">  （4）</w:t>
      </w:r>
      <w:r>
        <w:rPr>
          <w:rFonts w:hint="eastAsia" w:ascii="仿宋" w:hAnsi="仿宋" w:eastAsia="仿宋"/>
          <w:sz w:val="24"/>
        </w:rPr>
        <w:t>若出现最终成绩相同的情况，以学位课程学分加权平均分高者排序为先。</w:t>
      </w:r>
    </w:p>
    <w:p>
      <w:pPr>
        <w:spacing w:before="156" w:beforeLines="50" w:after="156" w:afterLines="50"/>
        <w:rPr>
          <w:rFonts w:ascii="仿宋" w:hAnsi="仿宋" w:eastAsia="仿宋"/>
          <w:b/>
          <w:sz w:val="24"/>
        </w:rPr>
      </w:pPr>
      <w:r>
        <w:rPr>
          <w:rFonts w:hint="eastAsia" w:ascii="仿宋" w:hAnsi="仿宋" w:eastAsia="仿宋"/>
          <w:b/>
          <w:sz w:val="24"/>
        </w:rPr>
        <w:t>三、M</w:t>
      </w:r>
      <w:r>
        <w:rPr>
          <w:rFonts w:ascii="仿宋" w:hAnsi="仿宋" w:eastAsia="仿宋"/>
          <w:b/>
          <w:sz w:val="24"/>
        </w:rPr>
        <w:t>BA</w:t>
      </w:r>
      <w:r>
        <w:rPr>
          <w:rFonts w:hint="eastAsia" w:ascii="仿宋" w:hAnsi="仿宋" w:eastAsia="仿宋"/>
          <w:b/>
          <w:sz w:val="24"/>
        </w:rPr>
        <w:t>学业奖学金评选流程</w:t>
      </w:r>
    </w:p>
    <w:p>
      <w:pPr>
        <w:ind w:firstLine="480" w:firstLineChars="200"/>
        <w:rPr>
          <w:rFonts w:ascii="仿宋" w:hAnsi="仿宋" w:eastAsia="仿宋"/>
          <w:sz w:val="24"/>
        </w:rPr>
      </w:pPr>
      <w:r>
        <w:rPr>
          <w:rFonts w:hint="eastAsia" w:ascii="仿宋" w:hAnsi="仿宋" w:eastAsia="仿宋"/>
          <w:sz w:val="24"/>
        </w:rPr>
        <w:t>1、学院发布评奖通知并启动学业奖学金评定工作。</w:t>
      </w:r>
    </w:p>
    <w:p>
      <w:pPr>
        <w:ind w:firstLine="480" w:firstLineChars="200"/>
        <w:rPr>
          <w:rFonts w:ascii="仿宋" w:hAnsi="仿宋" w:eastAsia="仿宋"/>
          <w:sz w:val="24"/>
        </w:rPr>
      </w:pPr>
      <w:r>
        <w:rPr>
          <w:rFonts w:hint="eastAsia" w:ascii="仿宋" w:hAnsi="仿宋" w:eastAsia="仿宋"/>
          <w:sz w:val="24"/>
        </w:rPr>
        <w:t>2、申请人递交申请材料：填写《电子科技大学研究生学业奖学金申请表》（详附表），并向评定单位提交申请表，提供符合要求的证明材料和汇总表（电子版和书面版同时提供），签署《诚信承诺书》（详附件）。</w:t>
      </w:r>
    </w:p>
    <w:p>
      <w:pPr>
        <w:ind w:left="240" w:firstLine="240" w:firstLineChars="100"/>
        <w:rPr>
          <w:rFonts w:ascii="仿宋" w:hAnsi="仿宋" w:eastAsia="仿宋"/>
          <w:sz w:val="24"/>
        </w:rPr>
      </w:pPr>
      <w:r>
        <w:rPr>
          <w:rFonts w:hint="eastAsia" w:ascii="仿宋" w:hAnsi="仿宋" w:eastAsia="仿宋"/>
          <w:sz w:val="24"/>
        </w:rPr>
        <w:t>3、学院研究生奖学金评审委员会计算并公示研二学生的学位课程学分加权平均分。</w:t>
      </w:r>
    </w:p>
    <w:p>
      <w:pPr>
        <w:ind w:left="240" w:firstLine="240" w:firstLineChars="100"/>
        <w:rPr>
          <w:rFonts w:ascii="仿宋" w:hAnsi="仿宋" w:eastAsia="仿宋"/>
          <w:sz w:val="24"/>
        </w:rPr>
      </w:pPr>
      <w:r>
        <w:rPr>
          <w:rFonts w:hint="eastAsia" w:ascii="仿宋" w:hAnsi="仿宋" w:eastAsia="仿宋"/>
          <w:sz w:val="24"/>
        </w:rPr>
        <w:t>4、学院研究生奖学金评审委员会依据学校、学院相关文件要求对申请人进行资格审查。</w:t>
      </w:r>
    </w:p>
    <w:p>
      <w:pPr>
        <w:ind w:firstLine="480" w:firstLineChars="200"/>
        <w:rPr>
          <w:rFonts w:ascii="仿宋" w:hAnsi="仿宋" w:eastAsia="仿宋"/>
          <w:sz w:val="24"/>
        </w:rPr>
      </w:pPr>
      <w:r>
        <w:rPr>
          <w:rFonts w:hint="eastAsia" w:ascii="仿宋" w:hAnsi="仿宋" w:eastAsia="仿宋"/>
          <w:sz w:val="24"/>
        </w:rPr>
        <w:t>5、学院研究生奖学金评审委员会进行数据整理，汇总论文发表、竞赛获奖、创新创业和公共服务等方面的证明材料等，并进行评审。</w:t>
      </w:r>
    </w:p>
    <w:p>
      <w:pPr>
        <w:ind w:left="240" w:firstLine="240" w:firstLineChars="100"/>
        <w:rPr>
          <w:rFonts w:ascii="仿宋" w:hAnsi="仿宋" w:eastAsia="仿宋"/>
          <w:sz w:val="24"/>
        </w:rPr>
      </w:pPr>
      <w:r>
        <w:rPr>
          <w:rFonts w:hint="eastAsia" w:ascii="仿宋" w:hAnsi="仿宋" w:eastAsia="仿宋"/>
          <w:sz w:val="24"/>
        </w:rPr>
        <w:t>6、学院研究生奖学金评审委员会将M</w:t>
      </w:r>
      <w:r>
        <w:rPr>
          <w:rFonts w:ascii="仿宋" w:hAnsi="仿宋" w:eastAsia="仿宋"/>
          <w:sz w:val="24"/>
        </w:rPr>
        <w:t>BA</w:t>
      </w:r>
      <w:r>
        <w:rPr>
          <w:rFonts w:hint="eastAsia" w:ascii="仿宋" w:hAnsi="仿宋" w:eastAsia="仿宋"/>
          <w:sz w:val="24"/>
        </w:rPr>
        <w:t>学业奖学金评定结果进行公示。</w:t>
      </w:r>
    </w:p>
    <w:p>
      <w:pPr>
        <w:ind w:firstLine="480" w:firstLineChars="200"/>
        <w:rPr>
          <w:rFonts w:ascii="仿宋" w:hAnsi="仿宋" w:eastAsia="仿宋"/>
          <w:sz w:val="24"/>
        </w:rPr>
      </w:pPr>
      <w:r>
        <w:rPr>
          <w:rFonts w:hint="eastAsia" w:ascii="仿宋" w:hAnsi="仿宋" w:eastAsia="仿宋"/>
          <w:sz w:val="24"/>
        </w:rPr>
        <w:t>7、学生如对奖学金评定结果有异议，可在学院公示期内向学院研究生奖学金评审委员会提出书面申诉，并提供事实材料，评审委员会将及时研究并予以答复。</w:t>
      </w:r>
    </w:p>
    <w:p>
      <w:pPr>
        <w:ind w:firstLine="480" w:firstLineChars="200"/>
        <w:rPr>
          <w:rFonts w:ascii="仿宋" w:hAnsi="仿宋" w:eastAsia="仿宋"/>
          <w:sz w:val="24"/>
        </w:rPr>
      </w:pPr>
      <w:r>
        <w:rPr>
          <w:rFonts w:hint="eastAsia" w:ascii="仿宋" w:hAnsi="仿宋" w:eastAsia="仿宋"/>
          <w:sz w:val="24"/>
        </w:rPr>
        <w:t>8、学院汇总材料和评定结果并上报至研究生院。</w:t>
      </w:r>
    </w:p>
    <w:p>
      <w:pPr>
        <w:spacing w:before="156" w:beforeLines="50" w:after="156" w:afterLines="50"/>
        <w:rPr>
          <w:rFonts w:ascii="仿宋" w:hAnsi="仿宋" w:eastAsia="仿宋"/>
          <w:b/>
          <w:sz w:val="24"/>
        </w:rPr>
      </w:pPr>
      <w:r>
        <w:rPr>
          <w:rFonts w:hint="eastAsia" w:ascii="仿宋" w:hAnsi="仿宋" w:eastAsia="仿宋"/>
          <w:b/>
          <w:sz w:val="24"/>
        </w:rPr>
        <w:t>四、申请者要提交的书面证明材料</w:t>
      </w:r>
    </w:p>
    <w:p>
      <w:pPr>
        <w:ind w:firstLine="480" w:firstLineChars="200"/>
        <w:rPr>
          <w:rFonts w:ascii="仿宋" w:hAnsi="仿宋" w:eastAsia="仿宋"/>
          <w:sz w:val="24"/>
        </w:rPr>
      </w:pPr>
      <w:r>
        <w:rPr>
          <w:rFonts w:hint="eastAsia" w:ascii="仿宋" w:hAnsi="仿宋" w:eastAsia="仿宋"/>
          <w:sz w:val="24"/>
        </w:rPr>
        <w:t>1、学院每年9月组织一次学生公共服务和获奖等情况的登记，二年级的M</w:t>
      </w:r>
      <w:r>
        <w:rPr>
          <w:rFonts w:ascii="仿宋" w:hAnsi="仿宋" w:eastAsia="仿宋"/>
          <w:sz w:val="24"/>
        </w:rPr>
        <w:t>BA</w:t>
      </w:r>
      <w:r>
        <w:rPr>
          <w:rFonts w:hint="eastAsia" w:ascii="仿宋" w:hAnsi="仿宋" w:eastAsia="仿宋"/>
          <w:sz w:val="24"/>
        </w:rPr>
        <w:t>学生直接到评定单位进行登记；登记时提供评奖年度的证明材料。</w:t>
      </w:r>
    </w:p>
    <w:p>
      <w:pPr>
        <w:ind w:firstLine="480" w:firstLineChars="200"/>
        <w:rPr>
          <w:rFonts w:ascii="仿宋" w:hAnsi="仿宋" w:eastAsia="仿宋"/>
          <w:sz w:val="24"/>
        </w:rPr>
      </w:pPr>
      <w:r>
        <w:rPr>
          <w:rFonts w:hint="eastAsia" w:ascii="仿宋" w:hAnsi="仿宋" w:eastAsia="仿宋"/>
          <w:sz w:val="24"/>
        </w:rPr>
        <w:t>2、获奖证明材料：</w:t>
      </w:r>
    </w:p>
    <w:p>
      <w:pPr>
        <w:ind w:firstLine="480" w:firstLineChars="200"/>
        <w:rPr>
          <w:rFonts w:ascii="仿宋" w:hAnsi="仿宋" w:eastAsia="仿宋"/>
          <w:sz w:val="24"/>
        </w:rPr>
      </w:pPr>
      <w:r>
        <w:rPr>
          <w:rFonts w:hint="eastAsia" w:ascii="仿宋" w:hAnsi="仿宋" w:eastAsia="仿宋"/>
          <w:sz w:val="24"/>
        </w:rPr>
        <w:t>（1）申请者需提供获奖以及创新创业相关证书原件、复印件，原件供审核。</w:t>
      </w:r>
    </w:p>
    <w:p>
      <w:pPr>
        <w:ind w:firstLine="480" w:firstLineChars="200"/>
        <w:rPr>
          <w:rFonts w:ascii="仿宋" w:hAnsi="仿宋" w:eastAsia="仿宋"/>
          <w:sz w:val="24"/>
        </w:rPr>
      </w:pPr>
      <w:r>
        <w:rPr>
          <w:rFonts w:hint="eastAsia" w:ascii="仿宋" w:hAnsi="仿宋" w:eastAsia="仿宋"/>
          <w:sz w:val="24"/>
        </w:rPr>
        <w:t>（2）团体获奖有效的奖励排名情况证明，对获奖级别的划分等。</w:t>
      </w:r>
    </w:p>
    <w:p>
      <w:pPr>
        <w:ind w:firstLine="480" w:firstLineChars="200"/>
        <w:rPr>
          <w:rFonts w:ascii="仿宋" w:hAnsi="仿宋" w:eastAsia="仿宋"/>
          <w:sz w:val="24"/>
        </w:rPr>
      </w:pPr>
      <w:r>
        <w:rPr>
          <w:rFonts w:hint="eastAsia" w:ascii="仿宋" w:hAnsi="仿宋" w:eastAsia="仿宋"/>
          <w:sz w:val="24"/>
        </w:rPr>
        <w:t>3、其他相关公共服务证明等。</w:t>
      </w:r>
    </w:p>
    <w:p>
      <w:pPr>
        <w:spacing w:before="156" w:beforeLines="50" w:after="156" w:afterLines="50"/>
        <w:rPr>
          <w:rFonts w:ascii="仿宋" w:hAnsi="仿宋" w:eastAsia="仿宋"/>
          <w:b/>
          <w:sz w:val="24"/>
        </w:rPr>
      </w:pPr>
      <w:r>
        <w:rPr>
          <w:rFonts w:hint="eastAsia" w:ascii="仿宋" w:hAnsi="仿宋" w:eastAsia="仿宋"/>
          <w:b/>
          <w:sz w:val="24"/>
        </w:rPr>
        <w:t>五、附则</w:t>
      </w:r>
    </w:p>
    <w:p>
      <w:pPr>
        <w:ind w:firstLine="480" w:firstLineChars="200"/>
        <w:rPr>
          <w:rFonts w:ascii="仿宋" w:hAnsi="仿宋" w:eastAsia="仿宋"/>
          <w:sz w:val="24"/>
        </w:rPr>
      </w:pPr>
      <w:r>
        <w:rPr>
          <w:rFonts w:hint="eastAsia" w:ascii="仿宋" w:hAnsi="仿宋" w:eastAsia="仿宋"/>
          <w:sz w:val="24"/>
        </w:rPr>
        <w:t>1、本办法未涉及的内容参考学校和学院相关管理办法执行。</w:t>
      </w:r>
    </w:p>
    <w:p>
      <w:pPr>
        <w:ind w:firstLine="480" w:firstLineChars="200"/>
        <w:rPr>
          <w:rFonts w:ascii="仿宋" w:hAnsi="仿宋" w:eastAsia="仿宋"/>
          <w:sz w:val="24"/>
        </w:rPr>
      </w:pPr>
      <w:r>
        <w:rPr>
          <w:rFonts w:hint="eastAsia" w:ascii="仿宋" w:hAnsi="仿宋" w:eastAsia="仿宋"/>
          <w:sz w:val="24"/>
        </w:rPr>
        <w:t>2、本办法由学院研究生奖学金评审委员会负责解释。</w:t>
      </w:r>
    </w:p>
    <w:p>
      <w:pPr>
        <w:ind w:left="240"/>
        <w:rPr>
          <w:rFonts w:ascii="仿宋" w:hAnsi="仿宋" w:eastAsia="仿宋"/>
          <w:b/>
          <w:sz w:val="24"/>
        </w:rPr>
      </w:pPr>
    </w:p>
    <w:p>
      <w:pPr>
        <w:ind w:left="240"/>
        <w:rPr>
          <w:rFonts w:ascii="仿宋" w:hAnsi="仿宋" w:eastAsia="仿宋"/>
          <w:b/>
          <w:sz w:val="24"/>
        </w:rPr>
      </w:pPr>
    </w:p>
    <w:p>
      <w:pPr>
        <w:ind w:left="240"/>
        <w:rPr>
          <w:rFonts w:ascii="仿宋" w:hAnsi="仿宋" w:eastAsia="仿宋"/>
          <w:b/>
          <w:sz w:val="24"/>
        </w:rPr>
      </w:pPr>
      <w:r>
        <w:rPr>
          <w:rFonts w:ascii="仿宋" w:hAnsi="仿宋" w:eastAsia="仿宋"/>
          <w:b/>
          <w:sz w:val="24"/>
        </w:rPr>
        <w:t xml:space="preserve">                                       </w:t>
      </w:r>
      <w:r>
        <w:rPr>
          <w:rFonts w:hint="eastAsia" w:ascii="仿宋" w:hAnsi="仿宋" w:eastAsia="仿宋"/>
          <w:b/>
          <w:sz w:val="24"/>
        </w:rPr>
        <w:t>电子科技大学经济与管理学院</w:t>
      </w:r>
    </w:p>
    <w:p>
      <w:pPr>
        <w:ind w:left="240"/>
        <w:rPr>
          <w:rFonts w:hint="eastAsia" w:ascii="仿宋" w:hAnsi="仿宋" w:eastAsia="仿宋"/>
          <w:b/>
          <w:sz w:val="24"/>
          <w:lang w:val="en-US" w:eastAsia="zh-CN"/>
        </w:rPr>
      </w:pP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   </w:t>
      </w:r>
      <w:r>
        <w:rPr>
          <w:rFonts w:ascii="仿宋" w:hAnsi="仿宋" w:eastAsia="仿宋"/>
          <w:b/>
          <w:sz w:val="24"/>
        </w:rPr>
        <w:t>2020</w:t>
      </w:r>
      <w:r>
        <w:rPr>
          <w:rFonts w:hint="eastAsia" w:ascii="仿宋" w:hAnsi="仿宋" w:eastAsia="仿宋"/>
          <w:b/>
          <w:sz w:val="24"/>
        </w:rPr>
        <w:t>年12</w:t>
      </w:r>
      <w:r>
        <w:rPr>
          <w:rFonts w:hint="eastAsia" w:ascii="仿宋" w:hAnsi="仿宋" w:eastAsia="仿宋"/>
          <w:b/>
          <w:sz w:val="24"/>
          <w:lang w:val="en-US" w:eastAsia="zh-CN"/>
        </w:rPr>
        <w:t>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298"/>
    <w:multiLevelType w:val="multilevel"/>
    <w:tmpl w:val="04706298"/>
    <w:lvl w:ilvl="0" w:tentative="0">
      <w:start w:val="1"/>
      <w:numFmt w:val="decimal"/>
      <w:suff w:val="space"/>
      <w:lvlText w:val="%1)"/>
      <w:lvlJc w:val="left"/>
      <w:pPr>
        <w:ind w:left="0" w:firstLine="285"/>
      </w:pPr>
      <w:rPr>
        <w:rFonts w:hint="eastAsia"/>
      </w:rPr>
    </w:lvl>
    <w:lvl w:ilvl="1" w:tentative="0">
      <w:start w:val="1"/>
      <w:numFmt w:val="lowerLetter"/>
      <w:lvlText w:val="%2."/>
      <w:lvlJc w:val="left"/>
      <w:pPr>
        <w:ind w:left="1365" w:hanging="360"/>
      </w:pPr>
      <w:rPr>
        <w:rFonts w:hint="eastAsia"/>
      </w:rPr>
    </w:lvl>
    <w:lvl w:ilvl="2" w:tentative="0">
      <w:start w:val="1"/>
      <w:numFmt w:val="lowerRoman"/>
      <w:lvlText w:val="%3."/>
      <w:lvlJc w:val="right"/>
      <w:pPr>
        <w:ind w:left="2085" w:hanging="180"/>
      </w:pPr>
      <w:rPr>
        <w:rFonts w:hint="eastAsia"/>
      </w:rPr>
    </w:lvl>
    <w:lvl w:ilvl="3" w:tentative="0">
      <w:start w:val="1"/>
      <w:numFmt w:val="decimal"/>
      <w:lvlText w:val="%4."/>
      <w:lvlJc w:val="left"/>
      <w:pPr>
        <w:ind w:left="2805" w:hanging="360"/>
      </w:pPr>
      <w:rPr>
        <w:rFonts w:hint="eastAsia"/>
      </w:rPr>
    </w:lvl>
    <w:lvl w:ilvl="4" w:tentative="0">
      <w:start w:val="1"/>
      <w:numFmt w:val="lowerLetter"/>
      <w:lvlText w:val="%5."/>
      <w:lvlJc w:val="left"/>
      <w:pPr>
        <w:ind w:left="3525" w:hanging="360"/>
      </w:pPr>
      <w:rPr>
        <w:rFonts w:hint="eastAsia"/>
      </w:rPr>
    </w:lvl>
    <w:lvl w:ilvl="5" w:tentative="0">
      <w:start w:val="1"/>
      <w:numFmt w:val="lowerRoman"/>
      <w:lvlText w:val="%6."/>
      <w:lvlJc w:val="right"/>
      <w:pPr>
        <w:ind w:left="4245" w:hanging="180"/>
      </w:pPr>
      <w:rPr>
        <w:rFonts w:hint="eastAsia"/>
      </w:rPr>
    </w:lvl>
    <w:lvl w:ilvl="6" w:tentative="0">
      <w:start w:val="1"/>
      <w:numFmt w:val="decimal"/>
      <w:lvlText w:val="%7."/>
      <w:lvlJc w:val="left"/>
      <w:pPr>
        <w:ind w:left="4965" w:hanging="360"/>
      </w:pPr>
      <w:rPr>
        <w:rFonts w:hint="eastAsia"/>
      </w:rPr>
    </w:lvl>
    <w:lvl w:ilvl="7" w:tentative="0">
      <w:start w:val="1"/>
      <w:numFmt w:val="lowerLetter"/>
      <w:lvlText w:val="%8."/>
      <w:lvlJc w:val="left"/>
      <w:pPr>
        <w:ind w:left="5685" w:hanging="360"/>
      </w:pPr>
      <w:rPr>
        <w:rFonts w:hint="eastAsia"/>
      </w:rPr>
    </w:lvl>
    <w:lvl w:ilvl="8" w:tentative="0">
      <w:start w:val="1"/>
      <w:numFmt w:val="lowerRoman"/>
      <w:lvlText w:val="%9."/>
      <w:lvlJc w:val="right"/>
      <w:pPr>
        <w:ind w:left="6405" w:hanging="180"/>
      </w:pPr>
      <w:rPr>
        <w:rFonts w:hint="eastAsia"/>
      </w:rPr>
    </w:lvl>
  </w:abstractNum>
  <w:abstractNum w:abstractNumId="1">
    <w:nsid w:val="07091ECC"/>
    <w:multiLevelType w:val="multilevel"/>
    <w:tmpl w:val="07091ECC"/>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
    <w:nsid w:val="07934182"/>
    <w:multiLevelType w:val="multilevel"/>
    <w:tmpl w:val="0793418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
    <w:nsid w:val="11F0552B"/>
    <w:multiLevelType w:val="multilevel"/>
    <w:tmpl w:val="11F0552B"/>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4">
    <w:nsid w:val="16D066DA"/>
    <w:multiLevelType w:val="multilevel"/>
    <w:tmpl w:val="16D066D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5">
    <w:nsid w:val="1BB07391"/>
    <w:multiLevelType w:val="multilevel"/>
    <w:tmpl w:val="1BB07391"/>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22165FDD"/>
    <w:multiLevelType w:val="multilevel"/>
    <w:tmpl w:val="22165FDD"/>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7">
    <w:nsid w:val="248B2E3D"/>
    <w:multiLevelType w:val="multilevel"/>
    <w:tmpl w:val="248B2E3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8">
    <w:nsid w:val="29880023"/>
    <w:multiLevelType w:val="multilevel"/>
    <w:tmpl w:val="29880023"/>
    <w:lvl w:ilvl="0" w:tentative="0">
      <w:start w:val="1"/>
      <w:numFmt w:val="decimal"/>
      <w:lvlText w:val="%1."/>
      <w:lvlJc w:val="left"/>
      <w:pPr>
        <w:ind w:left="840" w:hanging="36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87A60C0"/>
    <w:multiLevelType w:val="multilevel"/>
    <w:tmpl w:val="387A60C0"/>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0">
    <w:nsid w:val="3AB206E8"/>
    <w:multiLevelType w:val="multilevel"/>
    <w:tmpl w:val="3AB206E8"/>
    <w:lvl w:ilvl="0" w:tentative="0">
      <w:start w:val="1"/>
      <w:numFmt w:val="decimal"/>
      <w:lvlText w:val="%1、"/>
      <w:lvlJc w:val="left"/>
      <w:pPr>
        <w:ind w:left="825" w:hanging="360"/>
      </w:pPr>
      <w:rPr>
        <w:rFonts w:hint="default" w:asciiTheme="minorEastAsia" w:hAnsiTheme="minorEastAsia" w:eastAsiaTheme="minorEastAsia"/>
        <w:sz w:val="23"/>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1">
    <w:nsid w:val="3BD109CA"/>
    <w:multiLevelType w:val="multilevel"/>
    <w:tmpl w:val="3BD109CA"/>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12">
    <w:nsid w:val="3D6E6737"/>
    <w:multiLevelType w:val="multilevel"/>
    <w:tmpl w:val="3D6E6737"/>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3">
    <w:nsid w:val="3E324634"/>
    <w:multiLevelType w:val="multilevel"/>
    <w:tmpl w:val="3E324634"/>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14">
    <w:nsid w:val="40A94AAE"/>
    <w:multiLevelType w:val="multilevel"/>
    <w:tmpl w:val="40A94AAE"/>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5">
    <w:nsid w:val="435A0F66"/>
    <w:multiLevelType w:val="multilevel"/>
    <w:tmpl w:val="435A0F66"/>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6">
    <w:nsid w:val="493365DD"/>
    <w:multiLevelType w:val="multilevel"/>
    <w:tmpl w:val="493365D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7">
    <w:nsid w:val="49F80472"/>
    <w:multiLevelType w:val="multilevel"/>
    <w:tmpl w:val="49F8047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8">
    <w:nsid w:val="4F3F659D"/>
    <w:multiLevelType w:val="multilevel"/>
    <w:tmpl w:val="4F3F659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9">
    <w:nsid w:val="51FB5586"/>
    <w:multiLevelType w:val="multilevel"/>
    <w:tmpl w:val="51FB5586"/>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0">
    <w:nsid w:val="52DD1F04"/>
    <w:multiLevelType w:val="multilevel"/>
    <w:tmpl w:val="52DD1F04"/>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1">
    <w:nsid w:val="5681F407"/>
    <w:multiLevelType w:val="singleLevel"/>
    <w:tmpl w:val="5681F407"/>
    <w:lvl w:ilvl="0" w:tentative="0">
      <w:start w:val="3"/>
      <w:numFmt w:val="chineseCounting"/>
      <w:suff w:val="nothing"/>
      <w:lvlText w:val="%1、"/>
      <w:lvlJc w:val="left"/>
    </w:lvl>
  </w:abstractNum>
  <w:abstractNum w:abstractNumId="22">
    <w:nsid w:val="5A1B13CE"/>
    <w:multiLevelType w:val="multilevel"/>
    <w:tmpl w:val="5A1B13CE"/>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3">
    <w:nsid w:val="5D7C3209"/>
    <w:multiLevelType w:val="multilevel"/>
    <w:tmpl w:val="5D7C3209"/>
    <w:lvl w:ilvl="0" w:tentative="0">
      <w:start w:val="1"/>
      <w:numFmt w:val="decimal"/>
      <w:lvlText w:val="%1)"/>
      <w:lvlJc w:val="left"/>
      <w:pPr>
        <w:tabs>
          <w:tab w:val="left" w:pos="1202"/>
        </w:tabs>
        <w:ind w:left="1202" w:hanging="420"/>
      </w:pPr>
    </w:lvl>
    <w:lvl w:ilvl="1" w:tentative="0">
      <w:start w:val="3"/>
      <w:numFmt w:val="bullet"/>
      <w:lvlText w:val="□"/>
      <w:lvlJc w:val="left"/>
      <w:pPr>
        <w:tabs>
          <w:tab w:val="left" w:pos="1562"/>
        </w:tabs>
        <w:ind w:left="1562" w:hanging="360"/>
      </w:pPr>
      <w:rPr>
        <w:rFonts w:hint="eastAsia" w:ascii="宋体" w:hAnsi="宋体" w:eastAsia="宋体" w:cs="Times New Roman"/>
      </w:r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4">
    <w:nsid w:val="5DAF52D2"/>
    <w:multiLevelType w:val="multilevel"/>
    <w:tmpl w:val="5DAF52D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5">
    <w:nsid w:val="638779CB"/>
    <w:multiLevelType w:val="multilevel"/>
    <w:tmpl w:val="638779CB"/>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6">
    <w:nsid w:val="63FA2F98"/>
    <w:multiLevelType w:val="multilevel"/>
    <w:tmpl w:val="63FA2F98"/>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7">
    <w:nsid w:val="669C2AA2"/>
    <w:multiLevelType w:val="multilevel"/>
    <w:tmpl w:val="669C2AA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8">
    <w:nsid w:val="67556879"/>
    <w:multiLevelType w:val="multilevel"/>
    <w:tmpl w:val="67556879"/>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9">
    <w:nsid w:val="6DCE4E61"/>
    <w:multiLevelType w:val="multilevel"/>
    <w:tmpl w:val="6DCE4E61"/>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0">
    <w:nsid w:val="6ED12132"/>
    <w:multiLevelType w:val="multilevel"/>
    <w:tmpl w:val="6ED12132"/>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31">
    <w:nsid w:val="72C5348A"/>
    <w:multiLevelType w:val="multilevel"/>
    <w:tmpl w:val="72C5348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2">
    <w:nsid w:val="77375DBA"/>
    <w:multiLevelType w:val="multilevel"/>
    <w:tmpl w:val="77375DB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3">
    <w:nsid w:val="781343C7"/>
    <w:multiLevelType w:val="multilevel"/>
    <w:tmpl w:val="781343C7"/>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34">
    <w:nsid w:val="78A23E3F"/>
    <w:multiLevelType w:val="multilevel"/>
    <w:tmpl w:val="78A23E3F"/>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35">
    <w:nsid w:val="7BB51CD4"/>
    <w:multiLevelType w:val="multilevel"/>
    <w:tmpl w:val="7BB51CD4"/>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36">
    <w:nsid w:val="7FB943DD"/>
    <w:multiLevelType w:val="multilevel"/>
    <w:tmpl w:val="7FB943DD"/>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num w:numId="1">
    <w:abstractNumId w:val="10"/>
  </w:num>
  <w:num w:numId="2">
    <w:abstractNumId w:val="21"/>
  </w:num>
  <w:num w:numId="3">
    <w:abstractNumId w:val="8"/>
  </w:num>
  <w:num w:numId="4">
    <w:abstractNumId w:val="35"/>
  </w:num>
  <w:num w:numId="5">
    <w:abstractNumId w:val="33"/>
  </w:num>
  <w:num w:numId="6">
    <w:abstractNumId w:val="12"/>
  </w:num>
  <w:num w:numId="7">
    <w:abstractNumId w:val="14"/>
  </w:num>
  <w:num w:numId="8">
    <w:abstractNumId w:val="30"/>
  </w:num>
  <w:num w:numId="9">
    <w:abstractNumId w:val="23"/>
  </w:num>
  <w:num w:numId="10">
    <w:abstractNumId w:val="3"/>
  </w:num>
  <w:num w:numId="11">
    <w:abstractNumId w:val="28"/>
  </w:num>
  <w:num w:numId="12">
    <w:abstractNumId w:val="2"/>
  </w:num>
  <w:num w:numId="13">
    <w:abstractNumId w:val="0"/>
  </w:num>
  <w:num w:numId="14">
    <w:abstractNumId w:val="26"/>
  </w:num>
  <w:num w:numId="15">
    <w:abstractNumId w:val="27"/>
  </w:num>
  <w:num w:numId="16">
    <w:abstractNumId w:val="19"/>
  </w:num>
  <w:num w:numId="17">
    <w:abstractNumId w:val="20"/>
  </w:num>
  <w:num w:numId="18">
    <w:abstractNumId w:val="34"/>
  </w:num>
  <w:num w:numId="19">
    <w:abstractNumId w:val="29"/>
  </w:num>
  <w:num w:numId="20">
    <w:abstractNumId w:val="31"/>
  </w:num>
  <w:num w:numId="21">
    <w:abstractNumId w:val="15"/>
  </w:num>
  <w:num w:numId="22">
    <w:abstractNumId w:val="11"/>
  </w:num>
  <w:num w:numId="23">
    <w:abstractNumId w:val="9"/>
  </w:num>
  <w:num w:numId="24">
    <w:abstractNumId w:val="24"/>
  </w:num>
  <w:num w:numId="25">
    <w:abstractNumId w:val="32"/>
  </w:num>
  <w:num w:numId="26">
    <w:abstractNumId w:val="6"/>
  </w:num>
  <w:num w:numId="27">
    <w:abstractNumId w:val="1"/>
  </w:num>
  <w:num w:numId="28">
    <w:abstractNumId w:val="7"/>
  </w:num>
  <w:num w:numId="29">
    <w:abstractNumId w:val="17"/>
  </w:num>
  <w:num w:numId="30">
    <w:abstractNumId w:val="36"/>
  </w:num>
  <w:num w:numId="31">
    <w:abstractNumId w:val="16"/>
  </w:num>
  <w:num w:numId="32">
    <w:abstractNumId w:val="25"/>
  </w:num>
  <w:num w:numId="33">
    <w:abstractNumId w:val="18"/>
  </w:num>
  <w:num w:numId="34">
    <w:abstractNumId w:val="22"/>
  </w:num>
  <w:num w:numId="35">
    <w:abstractNumId w:val="13"/>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97519"/>
    <w:rsid w:val="27697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
    <w:name w:val="List Paragraph1"/>
    <w:basedOn w:val="1"/>
    <w:qFormat/>
    <w:uiPriority w:val="99"/>
    <w:pPr>
      <w:ind w:firstLine="420" w:firstLineChars="200"/>
    </w:pPr>
  </w:style>
  <w:style w:type="paragraph" w:customStyle="1" w:styleId="7">
    <w:name w:val="_Style 17"/>
    <w:basedOn w:val="1"/>
    <w:next w:val="8"/>
    <w:qFormat/>
    <w:uiPriority w:val="34"/>
    <w:pPr>
      <w:ind w:firstLine="420" w:firstLineChars="200"/>
    </w:pPr>
    <w:rPr>
      <w:rFonts w:ascii="Calibri" w:hAnsi="Calibri" w:eastAsia="宋体" w:cs="Times New Roman"/>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10.wmf"/><Relationship Id="rId5" Type="http://schemas.openxmlformats.org/officeDocument/2006/relationships/image" Target="media/image1.wmf"/><Relationship Id="rId49" Type="http://schemas.openxmlformats.org/officeDocument/2006/relationships/oleObject" Target="embeddings/oleObject37.bin"/><Relationship Id="rId48" Type="http://schemas.openxmlformats.org/officeDocument/2006/relationships/oleObject" Target="embeddings/oleObject36.bin"/><Relationship Id="rId47" Type="http://schemas.openxmlformats.org/officeDocument/2006/relationships/oleObject" Target="embeddings/oleObject35.bin"/><Relationship Id="rId46" Type="http://schemas.openxmlformats.org/officeDocument/2006/relationships/oleObject" Target="embeddings/oleObject34.bin"/><Relationship Id="rId45" Type="http://schemas.openxmlformats.org/officeDocument/2006/relationships/oleObject" Target="embeddings/oleObject33.bin"/><Relationship Id="rId44" Type="http://schemas.openxmlformats.org/officeDocument/2006/relationships/oleObject" Target="embeddings/oleObject32.bin"/><Relationship Id="rId43" Type="http://schemas.openxmlformats.org/officeDocument/2006/relationships/oleObject" Target="embeddings/oleObject31.bin"/><Relationship Id="rId42" Type="http://schemas.openxmlformats.org/officeDocument/2006/relationships/oleObject" Target="embeddings/oleObject30.bin"/><Relationship Id="rId41" Type="http://schemas.openxmlformats.org/officeDocument/2006/relationships/oleObject" Target="embeddings/oleObject29.bin"/><Relationship Id="rId40" Type="http://schemas.openxmlformats.org/officeDocument/2006/relationships/oleObject" Target="embeddings/oleObject28.bin"/><Relationship Id="rId4" Type="http://schemas.openxmlformats.org/officeDocument/2006/relationships/oleObject" Target="embeddings/oleObject1.bin"/><Relationship Id="rId39" Type="http://schemas.openxmlformats.org/officeDocument/2006/relationships/oleObject" Target="embeddings/oleObject27.bin"/><Relationship Id="rId38" Type="http://schemas.openxmlformats.org/officeDocument/2006/relationships/oleObject" Target="embeddings/oleObject26.bin"/><Relationship Id="rId37" Type="http://schemas.openxmlformats.org/officeDocument/2006/relationships/oleObject" Target="embeddings/oleObject25.bin"/><Relationship Id="rId36" Type="http://schemas.openxmlformats.org/officeDocument/2006/relationships/oleObject" Target="embeddings/oleObject24.bin"/><Relationship Id="rId35" Type="http://schemas.openxmlformats.org/officeDocument/2006/relationships/oleObject" Target="embeddings/oleObject23.bin"/><Relationship Id="rId34" Type="http://schemas.openxmlformats.org/officeDocument/2006/relationships/oleObject" Target="embeddings/oleObject22.bin"/><Relationship Id="rId33" Type="http://schemas.openxmlformats.org/officeDocument/2006/relationships/oleObject" Target="embeddings/oleObject21.bin"/><Relationship Id="rId32" Type="http://schemas.openxmlformats.org/officeDocument/2006/relationships/oleObject" Target="embeddings/oleObject20.bin"/><Relationship Id="rId31" Type="http://schemas.openxmlformats.org/officeDocument/2006/relationships/oleObject" Target="embeddings/oleObject19.bin"/><Relationship Id="rId30" Type="http://schemas.openxmlformats.org/officeDocument/2006/relationships/oleObject" Target="embeddings/oleObject18.bin"/><Relationship Id="rId3" Type="http://schemas.openxmlformats.org/officeDocument/2006/relationships/theme" Target="theme/theme1.xml"/><Relationship Id="rId29" Type="http://schemas.openxmlformats.org/officeDocument/2006/relationships/oleObject" Target="embeddings/oleObject17.bin"/><Relationship Id="rId28" Type="http://schemas.openxmlformats.org/officeDocument/2006/relationships/oleObject" Target="embeddings/oleObject16.bin"/><Relationship Id="rId27" Type="http://schemas.openxmlformats.org/officeDocument/2006/relationships/oleObject" Target="embeddings/oleObject15.bin"/><Relationship Id="rId26" Type="http://schemas.openxmlformats.org/officeDocument/2006/relationships/oleObject" Target="embeddings/oleObject14.bin"/><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2021-01-18T03:38:00Z</dcterms:created>
  <dc:creator>Administrator</dc:creator>
  <cp:lastModifiedBy>Administrator</cp:lastModifiedBy>
  <dcterms:modified xsi:type="dcterms:W3CDTF">2021-01-18T03:39:29Z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